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9" w:type="dxa"/>
        <w:tblInd w:w="70" w:type="dxa"/>
        <w:tblLayout w:type="fixed"/>
        <w:tblCellMar>
          <w:left w:w="70" w:type="dxa"/>
          <w:right w:w="70" w:type="dxa"/>
        </w:tblCellMar>
        <w:tblLook w:val="04A0" w:firstRow="1" w:lastRow="0" w:firstColumn="1" w:lastColumn="0" w:noHBand="0" w:noVBand="1"/>
      </w:tblPr>
      <w:tblGrid>
        <w:gridCol w:w="4395"/>
        <w:gridCol w:w="850"/>
        <w:gridCol w:w="3969"/>
        <w:gridCol w:w="95"/>
      </w:tblGrid>
      <w:tr w:rsidR="00111A8A" w:rsidRPr="00320D2B" w14:paraId="6F4978B3" w14:textId="77777777" w:rsidTr="008838DD">
        <w:trPr>
          <w:gridAfter w:val="1"/>
          <w:wAfter w:w="95" w:type="dxa"/>
          <w:trHeight w:val="1550"/>
        </w:trPr>
        <w:tc>
          <w:tcPr>
            <w:tcW w:w="4395" w:type="dxa"/>
            <w:vAlign w:val="center"/>
            <w:hideMark/>
          </w:tcPr>
          <w:p w14:paraId="199E9720" w14:textId="77777777" w:rsidR="00111A8A" w:rsidRPr="00320D2B" w:rsidRDefault="00111A8A" w:rsidP="00111A8A">
            <w:pPr>
              <w:spacing w:after="0" w:line="240" w:lineRule="auto"/>
              <w:jc w:val="center"/>
              <w:rPr>
                <w:rFonts w:ascii="Arial" w:hAnsi="Arial" w:cs="Arial"/>
                <w:color w:val="000000"/>
              </w:rPr>
            </w:pPr>
            <w:r w:rsidRPr="00320D2B">
              <w:rPr>
                <w:rFonts w:ascii="Arial" w:hAnsi="Arial" w:cs="Arial"/>
                <w:noProof/>
                <w:lang w:eastAsia="el-GR"/>
              </w:rPr>
              <w:drawing>
                <wp:anchor distT="0" distB="0" distL="114300" distR="114300" simplePos="0" relativeHeight="251659264" behindDoc="0" locked="0" layoutInCell="1" allowOverlap="1" wp14:anchorId="7A9485EA" wp14:editId="2EE25DF1">
                  <wp:simplePos x="0" y="0"/>
                  <wp:positionH relativeFrom="column">
                    <wp:posOffset>1019810</wp:posOffset>
                  </wp:positionH>
                  <wp:positionV relativeFrom="paragraph">
                    <wp:posOffset>167005</wp:posOffset>
                  </wp:positionV>
                  <wp:extent cx="752475" cy="771525"/>
                  <wp:effectExtent l="19050" t="0" r="9525" b="0"/>
                  <wp:wrapSquare wrapText="bothSides"/>
                  <wp:docPr id="2" name="Picture 4" descr="http://www.cyprus.gov.cy/portal/portal.nsf/0/64b48afa606d5553c22570360021f4a4/Text/8.30D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yprus.gov.cy/portal/portal.nsf/0/64b48afa606d5553c22570360021f4a4/Text/8.30D2?OpenElement&amp;FieldElemFormat=jpg"/>
                          <pic:cNvPicPr>
                            <a:picLocks noChangeAspect="1" noChangeArrowheads="1"/>
                          </pic:cNvPicPr>
                        </pic:nvPicPr>
                        <pic:blipFill>
                          <a:blip r:embed="rId7" r:link="rId8"/>
                          <a:srcRect/>
                          <a:stretch>
                            <a:fillRect/>
                          </a:stretch>
                        </pic:blipFill>
                        <pic:spPr bwMode="auto">
                          <a:xfrm>
                            <a:off x="0" y="0"/>
                            <a:ext cx="752475" cy="771525"/>
                          </a:xfrm>
                          <a:prstGeom prst="rect">
                            <a:avLst/>
                          </a:prstGeom>
                          <a:noFill/>
                          <a:ln w="9525">
                            <a:noFill/>
                            <a:miter lim="800000"/>
                            <a:headEnd/>
                            <a:tailEnd/>
                          </a:ln>
                        </pic:spPr>
                      </pic:pic>
                    </a:graphicData>
                  </a:graphic>
                </wp:anchor>
              </w:drawing>
            </w:r>
          </w:p>
        </w:tc>
        <w:tc>
          <w:tcPr>
            <w:tcW w:w="850" w:type="dxa"/>
          </w:tcPr>
          <w:p w14:paraId="74187346" w14:textId="77777777" w:rsidR="00111A8A" w:rsidRPr="00320D2B" w:rsidRDefault="00111A8A" w:rsidP="00111A8A">
            <w:pPr>
              <w:spacing w:after="0" w:line="240" w:lineRule="auto"/>
              <w:jc w:val="both"/>
              <w:rPr>
                <w:rFonts w:ascii="Arial" w:hAnsi="Arial" w:cs="Arial"/>
                <w:b/>
                <w:sz w:val="28"/>
                <w:szCs w:val="28"/>
              </w:rPr>
            </w:pPr>
          </w:p>
        </w:tc>
        <w:tc>
          <w:tcPr>
            <w:tcW w:w="3969" w:type="dxa"/>
            <w:hideMark/>
          </w:tcPr>
          <w:p w14:paraId="690B3DA9" w14:textId="77777777" w:rsidR="00111A8A" w:rsidRPr="00320D2B" w:rsidRDefault="00111A8A" w:rsidP="00111A8A">
            <w:pPr>
              <w:spacing w:after="0" w:line="240" w:lineRule="auto"/>
              <w:ind w:left="-70"/>
              <w:jc w:val="both"/>
              <w:rPr>
                <w:rFonts w:ascii="Arial" w:hAnsi="Arial" w:cs="Arial"/>
                <w:b/>
                <w:sz w:val="20"/>
                <w:szCs w:val="20"/>
              </w:rPr>
            </w:pPr>
            <w:r w:rsidRPr="00320D2B">
              <w:rPr>
                <w:rFonts w:ascii="Arial" w:hAnsi="Arial" w:cs="Arial"/>
                <w:noProof/>
                <w:lang w:eastAsia="el-GR"/>
              </w:rPr>
              <w:drawing>
                <wp:anchor distT="0" distB="0" distL="114300" distR="114300" simplePos="0" relativeHeight="251660288" behindDoc="0" locked="0" layoutInCell="1" allowOverlap="1" wp14:anchorId="3D3AAAD0" wp14:editId="0EB7B340">
                  <wp:simplePos x="0" y="0"/>
                  <wp:positionH relativeFrom="column">
                    <wp:posOffset>23495</wp:posOffset>
                  </wp:positionH>
                  <wp:positionV relativeFrom="paragraph">
                    <wp:posOffset>2540</wp:posOffset>
                  </wp:positionV>
                  <wp:extent cx="2533650" cy="885825"/>
                  <wp:effectExtent l="19050" t="0" r="0" b="0"/>
                  <wp:wrapNone/>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2533650" cy="885825"/>
                          </a:xfrm>
                          <a:prstGeom prst="rect">
                            <a:avLst/>
                          </a:prstGeom>
                          <a:noFill/>
                          <a:ln w="9525">
                            <a:noFill/>
                            <a:miter lim="800000"/>
                            <a:headEnd/>
                            <a:tailEnd/>
                          </a:ln>
                        </pic:spPr>
                      </pic:pic>
                    </a:graphicData>
                  </a:graphic>
                </wp:anchor>
              </w:drawing>
            </w:r>
          </w:p>
        </w:tc>
      </w:tr>
      <w:tr w:rsidR="00111A8A" w:rsidRPr="00320D2B" w14:paraId="77107A18" w14:textId="77777777" w:rsidTr="008838DD">
        <w:tc>
          <w:tcPr>
            <w:tcW w:w="4395" w:type="dxa"/>
            <w:vAlign w:val="center"/>
            <w:hideMark/>
          </w:tcPr>
          <w:p w14:paraId="70A851FA" w14:textId="77777777" w:rsidR="00111A8A" w:rsidRPr="00320D2B" w:rsidRDefault="00111A8A" w:rsidP="00B164F5">
            <w:pPr>
              <w:spacing w:after="0" w:line="240" w:lineRule="auto"/>
              <w:jc w:val="center"/>
              <w:rPr>
                <w:rFonts w:ascii="Arial" w:hAnsi="Arial" w:cs="Arial"/>
                <w:sz w:val="18"/>
                <w:szCs w:val="18"/>
              </w:rPr>
            </w:pPr>
            <w:r w:rsidRPr="00320D2B">
              <w:rPr>
                <w:rFonts w:ascii="Arial" w:hAnsi="Arial" w:cs="Arial"/>
                <w:sz w:val="18"/>
                <w:szCs w:val="18"/>
              </w:rPr>
              <w:t>ΚΥΠΡΙΑΚΗ ΔΗΜΟΚΡΑΤΙΑ</w:t>
            </w:r>
          </w:p>
          <w:p w14:paraId="045DD3D8" w14:textId="77777777" w:rsidR="00111A8A" w:rsidRPr="00320D2B" w:rsidRDefault="00111A8A" w:rsidP="00B164F5">
            <w:pPr>
              <w:spacing w:after="0" w:line="240" w:lineRule="auto"/>
              <w:jc w:val="center"/>
              <w:rPr>
                <w:rFonts w:ascii="Arial" w:hAnsi="Arial" w:cs="Arial"/>
                <w:b/>
                <w:sz w:val="20"/>
                <w:szCs w:val="20"/>
              </w:rPr>
            </w:pPr>
            <w:r w:rsidRPr="00320D2B">
              <w:rPr>
                <w:rFonts w:ascii="Arial" w:hAnsi="Arial" w:cs="Arial"/>
                <w:b/>
                <w:sz w:val="20"/>
                <w:szCs w:val="20"/>
              </w:rPr>
              <w:t>ΥΠΟΥΡΓΕΙΟ</w:t>
            </w:r>
          </w:p>
          <w:p w14:paraId="1E94A7DD" w14:textId="77777777" w:rsidR="00111A8A" w:rsidRPr="00320D2B" w:rsidRDefault="00111A8A" w:rsidP="00B164F5">
            <w:pPr>
              <w:spacing w:after="0" w:line="240" w:lineRule="auto"/>
              <w:jc w:val="center"/>
              <w:rPr>
                <w:rFonts w:ascii="Arial" w:hAnsi="Arial" w:cs="Arial"/>
                <w:b/>
                <w:sz w:val="20"/>
                <w:szCs w:val="20"/>
              </w:rPr>
            </w:pPr>
            <w:r w:rsidRPr="00320D2B">
              <w:rPr>
                <w:rFonts w:ascii="Arial" w:hAnsi="Arial" w:cs="Arial"/>
                <w:b/>
                <w:sz w:val="20"/>
                <w:szCs w:val="20"/>
              </w:rPr>
              <w:t>ΜΕΤΑΦΟΡΩΝ, ΕΠΙΚΟΙΝΩΝΙΩΝ ΚΑΙ ΕΡΓΩΝ</w:t>
            </w:r>
          </w:p>
          <w:p w14:paraId="47F88B12" w14:textId="77777777" w:rsidR="00111A8A" w:rsidRPr="00320D2B" w:rsidRDefault="00111A8A" w:rsidP="00B164F5">
            <w:pPr>
              <w:spacing w:after="0" w:line="240" w:lineRule="auto"/>
              <w:jc w:val="center"/>
              <w:rPr>
                <w:rFonts w:ascii="Arial" w:hAnsi="Arial" w:cs="Arial"/>
                <w:b/>
                <w:sz w:val="20"/>
                <w:szCs w:val="20"/>
              </w:rPr>
            </w:pPr>
          </w:p>
        </w:tc>
        <w:tc>
          <w:tcPr>
            <w:tcW w:w="4914" w:type="dxa"/>
            <w:gridSpan w:val="3"/>
          </w:tcPr>
          <w:p w14:paraId="24FC1DD0" w14:textId="77777777" w:rsidR="00111A8A" w:rsidRPr="00320D2B" w:rsidRDefault="00111A8A" w:rsidP="00B164F5">
            <w:pPr>
              <w:spacing w:after="0" w:line="240" w:lineRule="auto"/>
              <w:jc w:val="center"/>
              <w:rPr>
                <w:rFonts w:ascii="Arial" w:hAnsi="Arial" w:cs="Arial"/>
                <w:b/>
                <w:sz w:val="20"/>
                <w:szCs w:val="20"/>
              </w:rPr>
            </w:pPr>
          </w:p>
        </w:tc>
      </w:tr>
    </w:tbl>
    <w:p w14:paraId="43539C55" w14:textId="77777777" w:rsidR="00B164F5" w:rsidRDefault="00B164F5" w:rsidP="00B164F5">
      <w:pPr>
        <w:spacing w:after="0" w:line="240" w:lineRule="auto"/>
        <w:rPr>
          <w:rFonts w:ascii="Arial" w:hAnsi="Arial" w:cs="Arial"/>
          <w:b/>
          <w:bCs/>
        </w:rPr>
      </w:pPr>
    </w:p>
    <w:p w14:paraId="732A392D" w14:textId="54224F93" w:rsidR="002A3C0B" w:rsidRDefault="002A3C0B" w:rsidP="00B164F5">
      <w:pPr>
        <w:spacing w:after="0" w:line="240" w:lineRule="auto"/>
        <w:rPr>
          <w:rFonts w:ascii="Arial" w:hAnsi="Arial" w:cs="Arial"/>
          <w:b/>
          <w:bCs/>
        </w:rPr>
      </w:pPr>
      <w:r>
        <w:rPr>
          <w:rFonts w:ascii="Arial" w:hAnsi="Arial" w:cs="Arial"/>
          <w:b/>
          <w:bCs/>
        </w:rPr>
        <w:t xml:space="preserve">Αρ. </w:t>
      </w:r>
      <w:proofErr w:type="spellStart"/>
      <w:r>
        <w:rPr>
          <w:rFonts w:ascii="Arial" w:hAnsi="Arial" w:cs="Arial"/>
          <w:b/>
          <w:bCs/>
        </w:rPr>
        <w:t>Φακ</w:t>
      </w:r>
      <w:proofErr w:type="spellEnd"/>
      <w:r>
        <w:rPr>
          <w:rFonts w:ascii="Arial" w:hAnsi="Arial" w:cs="Arial"/>
          <w:b/>
          <w:bCs/>
        </w:rPr>
        <w:t>.: 12.03.001.01</w:t>
      </w:r>
    </w:p>
    <w:p w14:paraId="36A5E718" w14:textId="77777777" w:rsidR="001A7364" w:rsidRDefault="001A7364" w:rsidP="00B164F5">
      <w:pPr>
        <w:spacing w:after="0" w:line="240" w:lineRule="auto"/>
        <w:rPr>
          <w:rFonts w:ascii="Arial" w:hAnsi="Arial" w:cs="Arial"/>
          <w:b/>
          <w:bCs/>
        </w:rPr>
      </w:pPr>
    </w:p>
    <w:p w14:paraId="10454E74" w14:textId="54EECF40" w:rsidR="00BB5485" w:rsidRPr="00320D2B" w:rsidRDefault="006221FA" w:rsidP="00BB5485">
      <w:pPr>
        <w:rPr>
          <w:rFonts w:ascii="Arial" w:hAnsi="Arial" w:cs="Arial"/>
          <w:b/>
          <w:bCs/>
        </w:rPr>
      </w:pPr>
      <w:r>
        <w:rPr>
          <w:rFonts w:ascii="Arial" w:hAnsi="Arial" w:cs="Arial"/>
          <w:b/>
          <w:bCs/>
          <w:lang w:val="en-US"/>
        </w:rPr>
        <w:t>1</w:t>
      </w:r>
      <w:bookmarkStart w:id="0" w:name="_GoBack"/>
      <w:bookmarkEnd w:id="0"/>
      <w:r>
        <w:rPr>
          <w:rFonts w:ascii="Arial" w:hAnsi="Arial" w:cs="Arial"/>
          <w:b/>
          <w:bCs/>
          <w:lang w:val="en-US"/>
        </w:rPr>
        <w:t>6</w:t>
      </w:r>
      <w:r w:rsidR="002E54B2">
        <w:rPr>
          <w:rFonts w:ascii="Arial" w:hAnsi="Arial" w:cs="Arial"/>
          <w:b/>
          <w:bCs/>
        </w:rPr>
        <w:t xml:space="preserve"> </w:t>
      </w:r>
      <w:r w:rsidR="00ED656A">
        <w:rPr>
          <w:rFonts w:ascii="Arial" w:hAnsi="Arial" w:cs="Arial"/>
          <w:b/>
          <w:bCs/>
        </w:rPr>
        <w:t>Δεκε</w:t>
      </w:r>
      <w:r w:rsidR="004B384A">
        <w:rPr>
          <w:rFonts w:ascii="Arial" w:hAnsi="Arial" w:cs="Arial"/>
          <w:b/>
          <w:bCs/>
        </w:rPr>
        <w:t>μβρ</w:t>
      </w:r>
      <w:r w:rsidR="005C5BB0">
        <w:rPr>
          <w:rFonts w:ascii="Arial" w:hAnsi="Arial" w:cs="Arial"/>
          <w:b/>
          <w:bCs/>
        </w:rPr>
        <w:t>ίου,</w:t>
      </w:r>
      <w:r w:rsidR="00BB5485">
        <w:rPr>
          <w:rFonts w:ascii="Arial" w:hAnsi="Arial" w:cs="Arial"/>
          <w:b/>
          <w:bCs/>
        </w:rPr>
        <w:t xml:space="preserve"> 202</w:t>
      </w:r>
      <w:r w:rsidR="005C5BB0">
        <w:rPr>
          <w:rFonts w:ascii="Arial" w:hAnsi="Arial" w:cs="Arial"/>
          <w:b/>
          <w:bCs/>
        </w:rPr>
        <w:t>4</w:t>
      </w:r>
    </w:p>
    <w:p w14:paraId="4DDF7488" w14:textId="77777777" w:rsidR="002D1151" w:rsidRDefault="002D1151" w:rsidP="00BB0898">
      <w:pPr>
        <w:spacing w:after="0" w:line="240" w:lineRule="auto"/>
        <w:outlineLvl w:val="0"/>
        <w:rPr>
          <w:rFonts w:ascii="Arial" w:eastAsia="Batang" w:hAnsi="Arial" w:cs="Arial"/>
          <w:b/>
          <w:u w:val="single"/>
        </w:rPr>
      </w:pPr>
    </w:p>
    <w:p w14:paraId="10866EAF" w14:textId="21CF61B7" w:rsidR="00BB0898" w:rsidRPr="005C5BB0" w:rsidRDefault="00BB0898" w:rsidP="00BB0898">
      <w:pPr>
        <w:spacing w:after="0" w:line="240" w:lineRule="auto"/>
        <w:outlineLvl w:val="0"/>
        <w:rPr>
          <w:rFonts w:ascii="Arial" w:eastAsia="Batang" w:hAnsi="Arial" w:cs="Arial"/>
          <w:b/>
          <w:u w:val="single"/>
        </w:rPr>
      </w:pPr>
      <w:r w:rsidRPr="00BB0898">
        <w:rPr>
          <w:rFonts w:ascii="Arial" w:eastAsia="Batang" w:hAnsi="Arial" w:cs="Arial"/>
          <w:b/>
          <w:u w:val="single"/>
        </w:rPr>
        <w:t>ΜΕ ΦΑΞ</w:t>
      </w:r>
      <w:r w:rsidR="00E71FC8">
        <w:rPr>
          <w:rFonts w:ascii="Arial" w:eastAsia="Batang" w:hAnsi="Arial" w:cs="Arial"/>
          <w:b/>
          <w:u w:val="single"/>
        </w:rPr>
        <w:t xml:space="preserve"> / </w:t>
      </w:r>
      <w:r w:rsidR="00E71FC8">
        <w:rPr>
          <w:rFonts w:ascii="Arial" w:eastAsia="Batang" w:hAnsi="Arial" w:cs="Arial"/>
          <w:b/>
          <w:u w:val="single"/>
          <w:lang w:val="en-US"/>
        </w:rPr>
        <w:t>email</w:t>
      </w:r>
    </w:p>
    <w:p w14:paraId="1050EAEC" w14:textId="77777777" w:rsidR="00BB0898" w:rsidRPr="00BB0898" w:rsidRDefault="00BB0898" w:rsidP="00BB0898">
      <w:pPr>
        <w:spacing w:after="0" w:line="240" w:lineRule="auto"/>
        <w:outlineLvl w:val="0"/>
        <w:rPr>
          <w:rFonts w:ascii="Arial" w:eastAsia="Batang" w:hAnsi="Arial" w:cs="Arial"/>
          <w:b/>
          <w:u w:val="single"/>
        </w:rPr>
      </w:pPr>
    </w:p>
    <w:p w14:paraId="0B510DD2" w14:textId="77777777" w:rsidR="00BB0898" w:rsidRPr="00BB0898" w:rsidRDefault="004C151D" w:rsidP="00BB0898">
      <w:pPr>
        <w:spacing w:after="0" w:line="240" w:lineRule="auto"/>
        <w:outlineLvl w:val="0"/>
        <w:rPr>
          <w:rFonts w:ascii="Arial" w:eastAsia="Batang" w:hAnsi="Arial" w:cs="Arial"/>
        </w:rPr>
      </w:pPr>
      <w:r w:rsidRPr="00320D2B">
        <w:rPr>
          <w:rFonts w:ascii="Arial" w:eastAsia="Batang" w:hAnsi="Arial" w:cs="Arial"/>
          <w:noProof/>
          <w:lang w:eastAsia="el-GR"/>
        </w:rPr>
        <mc:AlternateContent>
          <mc:Choice Requires="wps">
            <w:drawing>
              <wp:anchor distT="0" distB="0" distL="114300" distR="114300" simplePos="0" relativeHeight="251661312" behindDoc="0" locked="0" layoutInCell="1" allowOverlap="1" wp14:anchorId="38644EE1" wp14:editId="7B32E327">
                <wp:simplePos x="0" y="0"/>
                <wp:positionH relativeFrom="column">
                  <wp:posOffset>-533823</wp:posOffset>
                </wp:positionH>
                <wp:positionV relativeFrom="paragraph">
                  <wp:posOffset>131022</wp:posOffset>
                </wp:positionV>
                <wp:extent cx="237066"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2370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C00E77"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05pt,10.3pt" to="-23.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" strokecolor="#5b9bd5 [3204]" strokeweight=".5pt">
                <v:stroke joinstyle="miter"/>
              </v:line>
            </w:pict>
          </mc:Fallback>
        </mc:AlternateContent>
      </w:r>
      <w:r w:rsidR="00BB0898" w:rsidRPr="00BB0898">
        <w:rPr>
          <w:rFonts w:ascii="Arial" w:eastAsia="Batang" w:hAnsi="Arial" w:cs="Arial"/>
        </w:rPr>
        <w:t>Π</w:t>
      </w:r>
      <w:r w:rsidR="006367DF" w:rsidRPr="00320D2B">
        <w:rPr>
          <w:rFonts w:ascii="Arial" w:eastAsia="Batang" w:hAnsi="Arial" w:cs="Arial"/>
        </w:rPr>
        <w:t>ίνακα</w:t>
      </w:r>
      <w:r w:rsidR="00BB5485">
        <w:rPr>
          <w:rFonts w:ascii="Arial" w:eastAsia="Batang" w:hAnsi="Arial" w:cs="Arial"/>
        </w:rPr>
        <w:t>ς</w:t>
      </w:r>
      <w:r w:rsidR="006367DF" w:rsidRPr="00320D2B">
        <w:rPr>
          <w:rFonts w:ascii="Arial" w:eastAsia="Batang" w:hAnsi="Arial" w:cs="Arial"/>
        </w:rPr>
        <w:t xml:space="preserve"> Αποδεκτών</w:t>
      </w:r>
    </w:p>
    <w:p w14:paraId="3F8BD99A" w14:textId="77777777" w:rsidR="00BB0898" w:rsidRPr="00BB0898" w:rsidRDefault="00BB0898" w:rsidP="00BB0898">
      <w:pPr>
        <w:spacing w:after="0" w:line="240" w:lineRule="auto"/>
        <w:rPr>
          <w:rFonts w:ascii="Arial" w:eastAsia="Batang" w:hAnsi="Arial" w:cs="Arial"/>
        </w:rPr>
      </w:pPr>
    </w:p>
    <w:p w14:paraId="7327B824" w14:textId="77777777" w:rsidR="00BB0898" w:rsidRPr="00BB0898" w:rsidRDefault="00BB0898" w:rsidP="00BB0898">
      <w:pPr>
        <w:spacing w:after="0" w:line="240" w:lineRule="auto"/>
        <w:rPr>
          <w:rFonts w:ascii="Arial" w:eastAsia="Batang" w:hAnsi="Arial" w:cs="Arial"/>
        </w:rPr>
      </w:pPr>
    </w:p>
    <w:p w14:paraId="55D03D0E" w14:textId="178D5357" w:rsidR="004C151D" w:rsidRPr="00955DD3" w:rsidRDefault="004C151D" w:rsidP="004C151D">
      <w:pPr>
        <w:jc w:val="center"/>
        <w:rPr>
          <w:rFonts w:ascii="Arial" w:hAnsi="Arial" w:cs="Arial"/>
          <w:b/>
          <w:u w:val="single"/>
        </w:rPr>
      </w:pPr>
      <w:r w:rsidRPr="00955DD3">
        <w:rPr>
          <w:rFonts w:ascii="Arial" w:hAnsi="Arial" w:cs="Arial"/>
          <w:b/>
          <w:u w:val="single"/>
        </w:rPr>
        <w:t xml:space="preserve">ΕΝΗΜΕΡΩΤΙΚΟ ΔΕΛΤΙΟ </w:t>
      </w:r>
      <w:r w:rsidR="004B384A">
        <w:rPr>
          <w:rFonts w:ascii="Arial" w:hAnsi="Arial" w:cs="Arial"/>
          <w:b/>
          <w:u w:val="single"/>
        </w:rPr>
        <w:t>2</w:t>
      </w:r>
      <w:r w:rsidRPr="00955DD3">
        <w:rPr>
          <w:rFonts w:ascii="Arial" w:hAnsi="Arial" w:cs="Arial"/>
          <w:b/>
          <w:u w:val="single"/>
        </w:rPr>
        <w:t>/202</w:t>
      </w:r>
      <w:r w:rsidR="005C5BB0">
        <w:rPr>
          <w:rFonts w:ascii="Arial" w:hAnsi="Arial" w:cs="Arial"/>
          <w:b/>
          <w:u w:val="single"/>
        </w:rPr>
        <w:t>4</w:t>
      </w:r>
    </w:p>
    <w:p w14:paraId="30C32538" w14:textId="77777777" w:rsidR="006367DF" w:rsidRPr="006367DF" w:rsidRDefault="006367DF" w:rsidP="006367DF">
      <w:pPr>
        <w:spacing w:after="0" w:line="240" w:lineRule="auto"/>
        <w:jc w:val="center"/>
        <w:outlineLvl w:val="0"/>
        <w:rPr>
          <w:rFonts w:ascii="Arial" w:eastAsia="Times New Roman" w:hAnsi="Arial" w:cs="Arial"/>
          <w:b/>
          <w:u w:val="single"/>
        </w:rPr>
      </w:pPr>
      <w:r w:rsidRPr="006367DF">
        <w:rPr>
          <w:rFonts w:ascii="Arial" w:eastAsia="Times New Roman" w:hAnsi="Arial" w:cs="Arial"/>
          <w:b/>
          <w:u w:val="single"/>
        </w:rPr>
        <w:t>Οι περί Ηλεκτρισμού Νόμος (Κεφ. 170) και Κανονισμοί του 1941 μέχρι 201</w:t>
      </w:r>
      <w:r w:rsidR="005C2185">
        <w:rPr>
          <w:rFonts w:ascii="Arial" w:eastAsia="Times New Roman" w:hAnsi="Arial" w:cs="Arial"/>
          <w:b/>
          <w:u w:val="single"/>
        </w:rPr>
        <w:t>9</w:t>
      </w:r>
    </w:p>
    <w:p w14:paraId="497794BC" w14:textId="77777777" w:rsidR="004C151D" w:rsidRPr="00320D2B" w:rsidRDefault="004C151D" w:rsidP="00111A8A">
      <w:pPr>
        <w:jc w:val="center"/>
        <w:rPr>
          <w:rFonts w:ascii="Arial" w:hAnsi="Arial" w:cs="Arial"/>
          <w:b/>
        </w:rPr>
      </w:pPr>
    </w:p>
    <w:p w14:paraId="0B91BD67" w14:textId="575F0F70" w:rsidR="00F46659" w:rsidRDefault="00F46659" w:rsidP="007F5592">
      <w:pPr>
        <w:spacing w:after="0"/>
        <w:ind w:left="-181"/>
        <w:jc w:val="both"/>
        <w:rPr>
          <w:rFonts w:ascii="Arial" w:hAnsi="Arial" w:cs="Arial"/>
        </w:rPr>
      </w:pPr>
      <w:r w:rsidRPr="00320D2B">
        <w:rPr>
          <w:rFonts w:ascii="Arial" w:hAnsi="Arial" w:cs="Arial"/>
        </w:rPr>
        <w:t xml:space="preserve">Το Τμήμα Ηλεκτρομηχανολογικών Υπηρεσιών, ως η αρμόδια υπηρεσία για την εφαρμογή των προνοιών της περί Ηλεκτρισμού Νομοθεσίας, περιλαμβανομένων και των προνοιών του προτύπου </w:t>
      </w:r>
      <w:r w:rsidRPr="00320D2B">
        <w:rPr>
          <w:rFonts w:ascii="Arial" w:hAnsi="Arial" w:cs="Arial"/>
          <w:lang w:val="en-GB"/>
        </w:rPr>
        <w:t>BS</w:t>
      </w:r>
      <w:r w:rsidRPr="00320D2B">
        <w:rPr>
          <w:rFonts w:ascii="Arial" w:hAnsi="Arial" w:cs="Arial"/>
        </w:rPr>
        <w:t xml:space="preserve"> 7671:2008 (2015) – 17η Έκδοση των Κανονισμών για τις ηλεκτρολογικές εγκαταστάσεις όπως έχει καθοριστεί με το Βασικό Διάταγμα Κ.Δ.Π. 168/2017 και το Τροποποιητικό Διάταγμα Κ.Δ.Π. 58/2018 που εξέδωσε ο Υπουργός Μεταφορών</w:t>
      </w:r>
      <w:r w:rsidR="00131E3F">
        <w:rPr>
          <w:rFonts w:ascii="Arial" w:hAnsi="Arial" w:cs="Arial"/>
        </w:rPr>
        <w:t>,</w:t>
      </w:r>
      <w:r w:rsidR="00131E3F" w:rsidRPr="00131E3F">
        <w:rPr>
          <w:rFonts w:ascii="Arial" w:hAnsi="Arial" w:cs="Arial"/>
        </w:rPr>
        <w:t xml:space="preserve"> </w:t>
      </w:r>
      <w:r w:rsidR="00131E3F" w:rsidRPr="00320D2B">
        <w:rPr>
          <w:rFonts w:ascii="Arial" w:hAnsi="Arial" w:cs="Arial"/>
        </w:rPr>
        <w:t>Επικοινωνιών</w:t>
      </w:r>
      <w:r w:rsidRPr="00320D2B">
        <w:rPr>
          <w:rFonts w:ascii="Arial" w:hAnsi="Arial" w:cs="Arial"/>
        </w:rPr>
        <w:t xml:space="preserve"> και Έργων, ενημερώνει όσους εμπλέκονται με τα θέματα που αφορούν τις ηλεκτρικές εγκαταστάσεις οι οποίες εμπίπτουν στην περί Ηλεκτρισμού Νομοθεσία</w:t>
      </w:r>
      <w:r w:rsidR="004C151D" w:rsidRPr="00320D2B">
        <w:rPr>
          <w:rFonts w:ascii="Arial" w:hAnsi="Arial" w:cs="Arial"/>
        </w:rPr>
        <w:t xml:space="preserve"> για τ</w:t>
      </w:r>
      <w:r w:rsidR="000411EC">
        <w:rPr>
          <w:rFonts w:ascii="Arial" w:hAnsi="Arial" w:cs="Arial"/>
        </w:rPr>
        <w:t>ο</w:t>
      </w:r>
      <w:r w:rsidR="004C151D" w:rsidRPr="00320D2B">
        <w:rPr>
          <w:rFonts w:ascii="Arial" w:hAnsi="Arial" w:cs="Arial"/>
        </w:rPr>
        <w:t xml:space="preserve"> πιο κάτω:</w:t>
      </w:r>
    </w:p>
    <w:p w14:paraId="7CB30156" w14:textId="77777777" w:rsidR="007F5592" w:rsidRPr="00320D2B" w:rsidRDefault="007F5592" w:rsidP="00743226">
      <w:pPr>
        <w:ind w:left="-180"/>
        <w:jc w:val="both"/>
        <w:rPr>
          <w:rFonts w:ascii="Arial" w:eastAsia="Times New Roman" w:hAnsi="Arial" w:cs="Arial"/>
          <w:u w:val="single"/>
        </w:rPr>
      </w:pPr>
    </w:p>
    <w:p w14:paraId="15181F7C" w14:textId="03BD111D" w:rsidR="001A7364" w:rsidRPr="001A7364" w:rsidRDefault="00D15D95" w:rsidP="00473A90">
      <w:pPr>
        <w:ind w:left="-142"/>
        <w:jc w:val="both"/>
        <w:rPr>
          <w:rFonts w:ascii="Arial" w:eastAsia="Calibri" w:hAnsi="Arial" w:cs="Arial"/>
          <w:b/>
          <w:u w:val="single"/>
        </w:rPr>
      </w:pPr>
      <w:r>
        <w:rPr>
          <w:rFonts w:ascii="Arial" w:eastAsia="Calibri" w:hAnsi="Arial" w:cs="Arial"/>
          <w:b/>
          <w:u w:val="single"/>
        </w:rPr>
        <w:t xml:space="preserve">Α. </w:t>
      </w:r>
      <w:r w:rsidR="000411EC">
        <w:rPr>
          <w:rFonts w:ascii="Arial" w:eastAsia="Calibri" w:hAnsi="Arial" w:cs="Arial"/>
          <w:b/>
          <w:u w:val="single"/>
        </w:rPr>
        <w:t>Χ</w:t>
      </w:r>
      <w:r w:rsidR="000411EC" w:rsidRPr="00650E85">
        <w:rPr>
          <w:rFonts w:ascii="Arial" w:hAnsi="Arial" w:cs="Arial"/>
          <w:b/>
          <w:bCs/>
          <w:u w:val="single"/>
        </w:rPr>
        <w:t>ρήση προστατευτικού εξοπλισμού απομόνωσης</w:t>
      </w:r>
      <w:r>
        <w:rPr>
          <w:rFonts w:ascii="Arial" w:hAnsi="Arial" w:cs="Arial"/>
          <w:b/>
          <w:bCs/>
          <w:u w:val="single"/>
        </w:rPr>
        <w:t xml:space="preserve"> (</w:t>
      </w:r>
      <w:r>
        <w:rPr>
          <w:rFonts w:ascii="Arial" w:hAnsi="Arial" w:cs="Arial"/>
          <w:b/>
          <w:bCs/>
          <w:u w:val="single"/>
          <w:lang w:val="en-US"/>
        </w:rPr>
        <w:t>DC</w:t>
      </w:r>
      <w:r w:rsidRPr="00D15D95">
        <w:rPr>
          <w:rFonts w:ascii="Arial" w:hAnsi="Arial" w:cs="Arial"/>
          <w:b/>
          <w:bCs/>
          <w:u w:val="single"/>
        </w:rPr>
        <w:t xml:space="preserve"> </w:t>
      </w:r>
      <w:proofErr w:type="spellStart"/>
      <w:r>
        <w:rPr>
          <w:rFonts w:ascii="Arial" w:hAnsi="Arial" w:cs="Arial"/>
          <w:b/>
          <w:bCs/>
          <w:u w:val="single"/>
          <w:lang w:val="en-US"/>
        </w:rPr>
        <w:t>Isolaor</w:t>
      </w:r>
      <w:proofErr w:type="spellEnd"/>
      <w:r w:rsidRPr="00D15D95">
        <w:rPr>
          <w:rFonts w:ascii="Arial" w:hAnsi="Arial" w:cs="Arial"/>
          <w:b/>
          <w:bCs/>
          <w:u w:val="single"/>
        </w:rPr>
        <w:t>)</w:t>
      </w:r>
      <w:r w:rsidR="000411EC" w:rsidRPr="00650E85">
        <w:rPr>
          <w:rFonts w:ascii="Arial" w:hAnsi="Arial" w:cs="Arial"/>
          <w:b/>
          <w:bCs/>
          <w:u w:val="single"/>
        </w:rPr>
        <w:t xml:space="preserve"> στα φωτοβολταϊκά συστήματα</w:t>
      </w:r>
    </w:p>
    <w:p w14:paraId="5F819E8B" w14:textId="4668045D" w:rsidR="00A0392C" w:rsidRPr="00A0392C" w:rsidRDefault="00BA37A5" w:rsidP="00A0392C">
      <w:pPr>
        <w:spacing w:after="0" w:line="240" w:lineRule="auto"/>
        <w:ind w:left="-142"/>
        <w:jc w:val="both"/>
        <w:rPr>
          <w:rFonts w:ascii="Arial" w:eastAsia="Times New Roman" w:hAnsi="Arial" w:cs="Arial"/>
        </w:rPr>
      </w:pPr>
      <w:r>
        <w:rPr>
          <w:rFonts w:ascii="Arial" w:eastAsia="Times New Roman" w:hAnsi="Arial" w:cs="Arial"/>
        </w:rPr>
        <w:t>Όσον αφορά σ</w:t>
      </w:r>
      <w:r w:rsidR="00A0392C" w:rsidRPr="00A0392C">
        <w:rPr>
          <w:rFonts w:ascii="Arial" w:eastAsia="Times New Roman" w:hAnsi="Arial" w:cs="Arial"/>
        </w:rPr>
        <w:t>την α</w:t>
      </w:r>
      <w:r>
        <w:rPr>
          <w:rFonts w:ascii="Arial" w:eastAsia="Times New Roman" w:hAnsi="Arial" w:cs="Arial"/>
        </w:rPr>
        <w:t xml:space="preserve">παίτηση των Κανονισμών </w:t>
      </w:r>
      <w:r w:rsidRPr="00A0392C">
        <w:rPr>
          <w:rFonts w:ascii="Arial" w:eastAsia="Times New Roman" w:hAnsi="Arial" w:cs="Arial"/>
        </w:rPr>
        <w:t>της 17</w:t>
      </w:r>
      <w:r w:rsidRPr="00A0392C">
        <w:rPr>
          <w:rFonts w:ascii="Arial" w:eastAsia="Times New Roman" w:hAnsi="Arial" w:cs="Arial"/>
          <w:vertAlign w:val="superscript"/>
        </w:rPr>
        <w:t>ης</w:t>
      </w:r>
      <w:r w:rsidRPr="00A0392C">
        <w:rPr>
          <w:rFonts w:ascii="Arial" w:eastAsia="Times New Roman" w:hAnsi="Arial" w:cs="Arial"/>
        </w:rPr>
        <w:t xml:space="preserve"> Έκδοσης των Κανονισμών</w:t>
      </w:r>
      <w:r>
        <w:rPr>
          <w:rFonts w:ascii="Arial" w:eastAsia="Times New Roman" w:hAnsi="Arial" w:cs="Arial"/>
        </w:rPr>
        <w:t xml:space="preserve"> για </w:t>
      </w:r>
      <w:r w:rsidR="00082D02">
        <w:rPr>
          <w:rFonts w:ascii="Arial" w:eastAsia="Times New Roman" w:hAnsi="Arial" w:cs="Arial"/>
        </w:rPr>
        <w:t>παροχή</w:t>
      </w:r>
      <w:r w:rsidR="00A0392C" w:rsidRPr="00A0392C">
        <w:rPr>
          <w:rFonts w:ascii="Arial" w:eastAsia="Times New Roman" w:hAnsi="Arial" w:cs="Arial"/>
        </w:rPr>
        <w:t xml:space="preserve"> απομόνωσης στην </w:t>
      </w:r>
      <w:r w:rsidR="00A0392C" w:rsidRPr="00A0392C">
        <w:rPr>
          <w:rFonts w:ascii="Arial" w:eastAsia="Times New Roman" w:hAnsi="Arial" w:cs="Arial"/>
          <w:lang w:val="en-US"/>
        </w:rPr>
        <w:t>DC</w:t>
      </w:r>
      <w:r w:rsidR="00A0392C" w:rsidRPr="00A0392C">
        <w:rPr>
          <w:rFonts w:ascii="Arial" w:eastAsia="Times New Roman" w:hAnsi="Arial" w:cs="Arial"/>
        </w:rPr>
        <w:t xml:space="preserve"> πλευρά </w:t>
      </w:r>
      <w:r w:rsidR="003617BF">
        <w:rPr>
          <w:rFonts w:ascii="Arial" w:eastAsia="Times New Roman" w:hAnsi="Arial" w:cs="Arial"/>
        </w:rPr>
        <w:t>του</w:t>
      </w:r>
      <w:r w:rsidR="00A0392C" w:rsidRPr="00A0392C">
        <w:rPr>
          <w:rFonts w:ascii="Arial" w:eastAsia="Times New Roman" w:hAnsi="Arial" w:cs="Arial"/>
        </w:rPr>
        <w:t xml:space="preserve"> φωτοβολταϊκού συστήματος</w:t>
      </w:r>
      <w:r w:rsidR="00A50272" w:rsidRPr="00A50272">
        <w:rPr>
          <w:rFonts w:ascii="Arial" w:eastAsia="Times New Roman" w:hAnsi="Arial" w:cs="Arial"/>
        </w:rPr>
        <w:t xml:space="preserve"> </w:t>
      </w:r>
      <w:r w:rsidR="00A50272">
        <w:rPr>
          <w:rFonts w:ascii="Arial" w:eastAsia="Times New Roman" w:hAnsi="Arial" w:cs="Arial"/>
        </w:rPr>
        <w:t xml:space="preserve">καθώς και </w:t>
      </w:r>
      <w:r w:rsidR="00A50272" w:rsidRPr="00A0392C">
        <w:rPr>
          <w:rFonts w:ascii="Arial" w:eastAsia="Times New Roman" w:hAnsi="Arial" w:cs="Arial"/>
        </w:rPr>
        <w:t>για σκοπούς συντήρησης</w:t>
      </w:r>
      <w:r w:rsidR="00082D02">
        <w:rPr>
          <w:rFonts w:ascii="Arial" w:eastAsia="Times New Roman" w:hAnsi="Arial" w:cs="Arial"/>
        </w:rPr>
        <w:t xml:space="preserve">, </w:t>
      </w:r>
      <w:r w:rsidR="00A0392C" w:rsidRPr="00A0392C">
        <w:rPr>
          <w:rFonts w:ascii="Arial" w:eastAsia="Times New Roman" w:hAnsi="Arial" w:cs="Arial"/>
        </w:rPr>
        <w:t xml:space="preserve"> </w:t>
      </w:r>
      <w:r w:rsidR="00A50272">
        <w:rPr>
          <w:rFonts w:ascii="Arial" w:eastAsia="Times New Roman" w:hAnsi="Arial" w:cs="Arial"/>
        </w:rPr>
        <w:t>επισημαίν</w:t>
      </w:r>
      <w:r w:rsidR="000E6FCD">
        <w:rPr>
          <w:rFonts w:ascii="Arial" w:eastAsia="Times New Roman" w:hAnsi="Arial" w:cs="Arial"/>
        </w:rPr>
        <w:t>ον</w:t>
      </w:r>
      <w:r w:rsidR="00A50272">
        <w:rPr>
          <w:rFonts w:ascii="Arial" w:eastAsia="Times New Roman" w:hAnsi="Arial" w:cs="Arial"/>
        </w:rPr>
        <w:t xml:space="preserve">ται </w:t>
      </w:r>
      <w:r w:rsidR="000E6FCD">
        <w:rPr>
          <w:rFonts w:ascii="Arial" w:eastAsia="Times New Roman" w:hAnsi="Arial" w:cs="Arial"/>
        </w:rPr>
        <w:t>τα πιο κάτω:</w:t>
      </w:r>
    </w:p>
    <w:p w14:paraId="3E0D5582" w14:textId="10853470" w:rsidR="00C74062" w:rsidRPr="00C74062" w:rsidRDefault="00C74062" w:rsidP="00C74062">
      <w:pPr>
        <w:numPr>
          <w:ilvl w:val="0"/>
          <w:numId w:val="7"/>
        </w:numPr>
        <w:spacing w:before="240" w:after="240" w:line="240" w:lineRule="auto"/>
        <w:ind w:left="426"/>
        <w:jc w:val="both"/>
        <w:rPr>
          <w:rFonts w:ascii="Arial" w:eastAsia="Times New Roman" w:hAnsi="Arial" w:cs="Arial"/>
        </w:rPr>
      </w:pPr>
      <w:r w:rsidRPr="00C74062">
        <w:rPr>
          <w:rFonts w:ascii="Arial" w:eastAsia="Times New Roman" w:hAnsi="Arial" w:cs="Arial"/>
        </w:rPr>
        <w:t>Σύμφωνα με τον Κανονισμό 712.537.2.1.1 της 17</w:t>
      </w:r>
      <w:r w:rsidRPr="00C74062">
        <w:rPr>
          <w:rFonts w:ascii="Arial" w:eastAsia="Times New Roman" w:hAnsi="Arial" w:cs="Arial"/>
          <w:vertAlign w:val="superscript"/>
        </w:rPr>
        <w:t>ης</w:t>
      </w:r>
      <w:r w:rsidRPr="00C74062">
        <w:rPr>
          <w:rFonts w:ascii="Arial" w:eastAsia="Times New Roman" w:hAnsi="Arial" w:cs="Arial"/>
        </w:rPr>
        <w:t xml:space="preserve"> </w:t>
      </w:r>
      <w:bookmarkStart w:id="1" w:name="_Hlk173346153"/>
      <w:r w:rsidRPr="00C74062">
        <w:rPr>
          <w:rFonts w:ascii="Arial" w:eastAsia="Times New Roman" w:hAnsi="Arial" w:cs="Arial"/>
        </w:rPr>
        <w:t>Έκδοσης των Κανονισμών του ΙΕΤ</w:t>
      </w:r>
      <w:bookmarkEnd w:id="1"/>
      <w:r w:rsidRPr="00C74062">
        <w:rPr>
          <w:rFonts w:ascii="Arial" w:eastAsia="Times New Roman" w:hAnsi="Arial" w:cs="Arial"/>
        </w:rPr>
        <w:t xml:space="preserve">, απαιτείται η χρήση εξοπλισμού απομόνωσης τόσο στην </w:t>
      </w:r>
      <w:bookmarkStart w:id="2" w:name="_Hlk173345477"/>
      <w:r w:rsidRPr="00C74062">
        <w:rPr>
          <w:rFonts w:ascii="Arial" w:eastAsia="Times New Roman" w:hAnsi="Arial" w:cs="Arial"/>
        </w:rPr>
        <w:t>DC</w:t>
      </w:r>
      <w:bookmarkEnd w:id="2"/>
      <w:r w:rsidRPr="00C74062">
        <w:rPr>
          <w:rFonts w:ascii="Arial" w:eastAsia="Times New Roman" w:hAnsi="Arial" w:cs="Arial"/>
        </w:rPr>
        <w:t xml:space="preserve"> όσο και στην </w:t>
      </w:r>
      <w:r w:rsidRPr="00C74062">
        <w:rPr>
          <w:rFonts w:ascii="Arial" w:eastAsia="Times New Roman" w:hAnsi="Arial" w:cs="Arial"/>
          <w:lang w:val="en-GB"/>
        </w:rPr>
        <w:t>AC</w:t>
      </w:r>
      <w:r w:rsidRPr="00C74062">
        <w:rPr>
          <w:rFonts w:ascii="Arial" w:eastAsia="Times New Roman" w:hAnsi="Arial" w:cs="Arial"/>
        </w:rPr>
        <w:t xml:space="preserve"> πλευρά των μετατροπέων (</w:t>
      </w:r>
      <w:r w:rsidRPr="00C74062">
        <w:rPr>
          <w:rFonts w:ascii="Arial" w:eastAsia="Times New Roman" w:hAnsi="Arial" w:cs="Arial"/>
          <w:lang w:val="en-GB"/>
        </w:rPr>
        <w:t>inverters</w:t>
      </w:r>
      <w:r w:rsidRPr="00C74062">
        <w:rPr>
          <w:rFonts w:ascii="Arial" w:eastAsia="Times New Roman" w:hAnsi="Arial" w:cs="Arial"/>
        </w:rPr>
        <w:t xml:space="preserve">) που χρησιμοποιούνται στα φωτοβολταϊκά συστήματα, για σκοπούς συντήρησης του εξοπλισμού. </w:t>
      </w:r>
    </w:p>
    <w:p w14:paraId="20962476" w14:textId="7FE18647" w:rsidR="00C74062" w:rsidRPr="00C74062" w:rsidRDefault="00C74062" w:rsidP="00C74062">
      <w:pPr>
        <w:numPr>
          <w:ilvl w:val="0"/>
          <w:numId w:val="7"/>
        </w:numPr>
        <w:spacing w:before="240" w:after="240" w:line="240" w:lineRule="auto"/>
        <w:ind w:left="426"/>
        <w:jc w:val="both"/>
        <w:rPr>
          <w:rFonts w:ascii="Arial" w:eastAsia="Times New Roman" w:hAnsi="Arial" w:cs="Arial"/>
        </w:rPr>
      </w:pPr>
      <w:r w:rsidRPr="00C74062">
        <w:rPr>
          <w:rFonts w:ascii="Arial" w:eastAsia="Times New Roman" w:hAnsi="Arial" w:cs="Arial"/>
        </w:rPr>
        <w:t>Επίσης, σύμφωνα με τον Κανονισμό 712.537.2.2.5</w:t>
      </w:r>
      <w:r w:rsidR="001B7D28" w:rsidRPr="001B7D28">
        <w:rPr>
          <w:rFonts w:ascii="Arial" w:eastAsia="Times New Roman" w:hAnsi="Arial" w:cs="Arial"/>
        </w:rPr>
        <w:t xml:space="preserve"> </w:t>
      </w:r>
      <w:r w:rsidR="001B7D28" w:rsidRPr="00C74062">
        <w:rPr>
          <w:rFonts w:ascii="Arial" w:eastAsia="Times New Roman" w:hAnsi="Arial" w:cs="Arial"/>
        </w:rPr>
        <w:t>της 17</w:t>
      </w:r>
      <w:r w:rsidR="001B7D28" w:rsidRPr="00C74062">
        <w:rPr>
          <w:rFonts w:ascii="Arial" w:eastAsia="Times New Roman" w:hAnsi="Arial" w:cs="Arial"/>
          <w:vertAlign w:val="superscript"/>
        </w:rPr>
        <w:t>ης</w:t>
      </w:r>
      <w:r w:rsidR="001B7D28" w:rsidRPr="00C74062">
        <w:rPr>
          <w:rFonts w:ascii="Arial" w:eastAsia="Times New Roman" w:hAnsi="Arial" w:cs="Arial"/>
        </w:rPr>
        <w:t xml:space="preserve"> Έκδοσης των Κανονισμών του ΙΕΤ</w:t>
      </w:r>
      <w:r w:rsidRPr="00C74062">
        <w:rPr>
          <w:rFonts w:ascii="Arial" w:eastAsia="Times New Roman" w:hAnsi="Arial" w:cs="Arial"/>
        </w:rPr>
        <w:t>, στην DC πλευρά του Μετατροπέα θα πρέπει να τοποθετείται εξοπλισμός διακοπής και απομόνωσης (</w:t>
      </w:r>
      <w:r w:rsidRPr="00C74062">
        <w:rPr>
          <w:rFonts w:ascii="Arial" w:eastAsia="Times New Roman" w:hAnsi="Arial" w:cs="Arial"/>
          <w:lang w:val="en-GB"/>
        </w:rPr>
        <w:t>Switch</w:t>
      </w:r>
      <w:r w:rsidRPr="00C74062">
        <w:rPr>
          <w:rFonts w:ascii="Arial" w:eastAsia="Times New Roman" w:hAnsi="Arial" w:cs="Arial"/>
        </w:rPr>
        <w:t xml:space="preserve"> </w:t>
      </w:r>
      <w:r w:rsidRPr="00C74062">
        <w:rPr>
          <w:rFonts w:ascii="Arial" w:eastAsia="Times New Roman" w:hAnsi="Arial" w:cs="Arial"/>
          <w:lang w:val="en-GB"/>
        </w:rPr>
        <w:t>Disconnector</w:t>
      </w:r>
      <w:r w:rsidRPr="00C74062">
        <w:rPr>
          <w:rFonts w:ascii="Arial" w:eastAsia="Times New Roman" w:hAnsi="Arial" w:cs="Arial"/>
        </w:rPr>
        <w:t>) ο οποίος να έχει δυνατότητα απομόνωσης σε συνθήκες συνδεδεμένου φορτίου. Με βάση τον Πίνακα 53.4 της 17</w:t>
      </w:r>
      <w:r w:rsidRPr="00C74062">
        <w:rPr>
          <w:rFonts w:ascii="Arial" w:eastAsia="Times New Roman" w:hAnsi="Arial" w:cs="Arial"/>
          <w:vertAlign w:val="superscript"/>
        </w:rPr>
        <w:t>ης</w:t>
      </w:r>
      <w:r w:rsidRPr="00C74062">
        <w:rPr>
          <w:rFonts w:ascii="Arial" w:eastAsia="Times New Roman" w:hAnsi="Arial" w:cs="Arial"/>
        </w:rPr>
        <w:t xml:space="preserve"> Έκδοσης των Κανονισμών του ΙΕΤ, η αναγνώριση της καταλληλότητας του γίνεται με την ύπαρξη επί του εξοπλισμού του συμβόλου: </w:t>
      </w:r>
    </w:p>
    <w:p w14:paraId="3B017A3D" w14:textId="0E23A9CC" w:rsidR="00C74062" w:rsidRPr="00C74062" w:rsidRDefault="00C74062" w:rsidP="00C74062">
      <w:pPr>
        <w:spacing w:before="240" w:after="240" w:line="240" w:lineRule="auto"/>
        <w:ind w:left="426"/>
        <w:jc w:val="center"/>
        <w:rPr>
          <w:rFonts w:ascii="Arial" w:eastAsia="Times New Roman" w:hAnsi="Arial" w:cs="Arial"/>
        </w:rPr>
      </w:pPr>
      <w:r w:rsidRPr="00C74062">
        <w:rPr>
          <w:rFonts w:ascii="Times New Roman" w:eastAsia="Times New Roman" w:hAnsi="Times New Roman" w:cs="Times New Roman"/>
          <w:noProof/>
          <w:sz w:val="24"/>
          <w:szCs w:val="24"/>
          <w:lang w:eastAsia="el-GR"/>
        </w:rPr>
        <w:drawing>
          <wp:inline distT="0" distB="0" distL="0" distR="0" wp14:anchorId="3DDF6408" wp14:editId="67A05D2E">
            <wp:extent cx="1024890" cy="4641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8329" t="63924" r="57944" b="33092"/>
                    <a:stretch>
                      <a:fillRect/>
                    </a:stretch>
                  </pic:blipFill>
                  <pic:spPr bwMode="auto">
                    <a:xfrm>
                      <a:off x="0" y="0"/>
                      <a:ext cx="1024890" cy="464185"/>
                    </a:xfrm>
                    <a:prstGeom prst="rect">
                      <a:avLst/>
                    </a:prstGeom>
                    <a:noFill/>
                    <a:ln>
                      <a:noFill/>
                    </a:ln>
                  </pic:spPr>
                </pic:pic>
              </a:graphicData>
            </a:graphic>
          </wp:inline>
        </w:drawing>
      </w:r>
      <w:r w:rsidRPr="00C74062">
        <w:rPr>
          <w:rFonts w:ascii="Times New Roman" w:eastAsia="Times New Roman" w:hAnsi="Times New Roman" w:cs="Times New Roman"/>
          <w:noProof/>
          <w:sz w:val="24"/>
          <w:szCs w:val="24"/>
          <w:lang w:val="en-US"/>
        </w:rPr>
        <w:t xml:space="preserve"> </w:t>
      </w:r>
    </w:p>
    <w:p w14:paraId="42BB58EA" w14:textId="77777777" w:rsidR="00C74062" w:rsidRPr="00C74062" w:rsidRDefault="00C74062" w:rsidP="00C74062">
      <w:pPr>
        <w:numPr>
          <w:ilvl w:val="0"/>
          <w:numId w:val="7"/>
        </w:numPr>
        <w:spacing w:before="240" w:after="240" w:line="240" w:lineRule="auto"/>
        <w:ind w:left="426"/>
        <w:jc w:val="both"/>
        <w:rPr>
          <w:rFonts w:ascii="Arial" w:eastAsia="Times New Roman" w:hAnsi="Arial" w:cs="Arial"/>
        </w:rPr>
      </w:pPr>
      <w:r w:rsidRPr="00C74062">
        <w:rPr>
          <w:rFonts w:ascii="Arial" w:eastAsia="Times New Roman" w:hAnsi="Arial" w:cs="Arial"/>
        </w:rPr>
        <w:lastRenderedPageBreak/>
        <w:t xml:space="preserve">Ο </w:t>
      </w:r>
      <w:r w:rsidRPr="00C74062">
        <w:rPr>
          <w:rFonts w:ascii="Arial" w:eastAsia="Times New Roman" w:hAnsi="Arial" w:cs="Arial"/>
          <w:lang w:val="en-US"/>
        </w:rPr>
        <w:t>DC</w:t>
      </w:r>
      <w:r w:rsidRPr="00C74062">
        <w:rPr>
          <w:rFonts w:ascii="Arial" w:eastAsia="Times New Roman" w:hAnsi="Arial" w:cs="Arial"/>
        </w:rPr>
        <w:t xml:space="preserve"> εξοπλισμός διακοπής και απομόνωσης (</w:t>
      </w:r>
      <w:r w:rsidRPr="00C74062">
        <w:rPr>
          <w:rFonts w:ascii="Arial" w:eastAsia="Times New Roman" w:hAnsi="Arial" w:cs="Arial"/>
          <w:lang w:val="en-US"/>
        </w:rPr>
        <w:t>switch</w:t>
      </w:r>
      <w:r w:rsidRPr="00C74062">
        <w:rPr>
          <w:rFonts w:ascii="Arial" w:eastAsia="Times New Roman" w:hAnsi="Arial" w:cs="Arial"/>
        </w:rPr>
        <w:t>-</w:t>
      </w:r>
      <w:r w:rsidRPr="00C74062">
        <w:rPr>
          <w:rFonts w:ascii="Arial" w:eastAsia="Times New Roman" w:hAnsi="Arial" w:cs="Arial"/>
          <w:lang w:val="en-US"/>
        </w:rPr>
        <w:t>disconnector</w:t>
      </w:r>
      <w:r w:rsidRPr="00C74062">
        <w:rPr>
          <w:rFonts w:ascii="Arial" w:eastAsia="Times New Roman" w:hAnsi="Arial" w:cs="Arial"/>
        </w:rPr>
        <w:t xml:space="preserve">) που θα χρησιμοποιηθεί, θα πρέπει να συμμορφώνεται με το Πρότυπο ΕΝ 60947-3, ενώ σε περίπτωση που θα χρησιμοποιηθεί </w:t>
      </w:r>
      <w:bookmarkStart w:id="3" w:name="_Hlk173347449"/>
      <w:r w:rsidRPr="00C74062">
        <w:rPr>
          <w:rFonts w:ascii="Arial" w:eastAsia="Times New Roman" w:hAnsi="Arial" w:cs="Arial"/>
          <w:lang w:val="en-US"/>
        </w:rPr>
        <w:t>DC</w:t>
      </w:r>
      <w:bookmarkEnd w:id="3"/>
      <w:r w:rsidRPr="00C74062">
        <w:rPr>
          <w:rFonts w:ascii="Arial" w:eastAsia="Times New Roman" w:hAnsi="Arial" w:cs="Arial"/>
        </w:rPr>
        <w:t xml:space="preserve"> αυτόματος διακόπτης κυκλώματος (</w:t>
      </w:r>
      <w:r w:rsidRPr="00C74062">
        <w:rPr>
          <w:rFonts w:ascii="Arial" w:eastAsia="Times New Roman" w:hAnsi="Arial" w:cs="Arial"/>
          <w:lang w:val="en-US"/>
        </w:rPr>
        <w:t>circuit</w:t>
      </w:r>
      <w:r w:rsidRPr="00C74062">
        <w:rPr>
          <w:rFonts w:ascii="Arial" w:eastAsia="Times New Roman" w:hAnsi="Arial" w:cs="Arial"/>
        </w:rPr>
        <w:t xml:space="preserve"> </w:t>
      </w:r>
      <w:r w:rsidRPr="00C74062">
        <w:rPr>
          <w:rFonts w:ascii="Arial" w:eastAsia="Times New Roman" w:hAnsi="Arial" w:cs="Arial"/>
          <w:lang w:val="en-US"/>
        </w:rPr>
        <w:t>breaker</w:t>
      </w:r>
      <w:r w:rsidRPr="00C74062">
        <w:rPr>
          <w:rFonts w:ascii="Arial" w:eastAsia="Times New Roman" w:hAnsi="Arial" w:cs="Arial"/>
        </w:rPr>
        <w:t>), θα πρέπει να συμμορφώνεται με το πρότυπο ΕΝ 60947-2 και θα πρέπει να έχουν την κατάλληλη σήμανση “</w:t>
      </w:r>
      <w:r w:rsidRPr="00C74062">
        <w:rPr>
          <w:rFonts w:ascii="Arial" w:eastAsia="Times New Roman" w:hAnsi="Arial" w:cs="Arial"/>
          <w:lang w:val="en-US"/>
        </w:rPr>
        <w:t>PV</w:t>
      </w:r>
      <w:r w:rsidRPr="00C74062">
        <w:rPr>
          <w:rFonts w:ascii="Arial" w:eastAsia="Times New Roman" w:hAnsi="Arial" w:cs="Arial"/>
        </w:rPr>
        <w:t xml:space="preserve"> </w:t>
      </w:r>
      <w:r w:rsidRPr="00C74062">
        <w:rPr>
          <w:rFonts w:ascii="Arial" w:eastAsia="Times New Roman" w:hAnsi="Arial" w:cs="Arial"/>
          <w:lang w:val="en-US"/>
        </w:rPr>
        <w:t>array</w:t>
      </w:r>
      <w:r w:rsidRPr="00C74062">
        <w:rPr>
          <w:rFonts w:ascii="Arial" w:eastAsia="Times New Roman" w:hAnsi="Arial" w:cs="Arial"/>
        </w:rPr>
        <w:t xml:space="preserve"> </w:t>
      </w:r>
      <w:r w:rsidRPr="00C74062">
        <w:rPr>
          <w:rFonts w:ascii="Arial" w:eastAsia="Times New Roman" w:hAnsi="Arial" w:cs="Arial"/>
          <w:lang w:val="en-US"/>
        </w:rPr>
        <w:t>DC</w:t>
      </w:r>
      <w:r w:rsidRPr="00C74062">
        <w:rPr>
          <w:rFonts w:ascii="Arial" w:eastAsia="Times New Roman" w:hAnsi="Arial" w:cs="Arial"/>
        </w:rPr>
        <w:t xml:space="preserve"> </w:t>
      </w:r>
      <w:r w:rsidRPr="00C74062">
        <w:rPr>
          <w:rFonts w:ascii="Arial" w:eastAsia="Times New Roman" w:hAnsi="Arial" w:cs="Arial"/>
          <w:lang w:val="en-US"/>
        </w:rPr>
        <w:t>isolator</w:t>
      </w:r>
      <w:r w:rsidRPr="00C74062">
        <w:rPr>
          <w:rFonts w:ascii="Arial" w:eastAsia="Times New Roman" w:hAnsi="Arial" w:cs="Arial"/>
        </w:rPr>
        <w:t>” ή ισοδύναμη, καθώς και το πιο πάνω σύμβολο.</w:t>
      </w:r>
    </w:p>
    <w:p w14:paraId="284EF249" w14:textId="49DC9373" w:rsidR="00C74062" w:rsidRPr="00C74062" w:rsidRDefault="00C74062" w:rsidP="00C74062">
      <w:pPr>
        <w:numPr>
          <w:ilvl w:val="0"/>
          <w:numId w:val="7"/>
        </w:numPr>
        <w:spacing w:before="240" w:after="240" w:line="240" w:lineRule="auto"/>
        <w:ind w:left="426"/>
        <w:jc w:val="both"/>
        <w:rPr>
          <w:rFonts w:ascii="Arial" w:eastAsia="Times New Roman" w:hAnsi="Arial" w:cs="Arial"/>
        </w:rPr>
      </w:pPr>
      <w:r w:rsidRPr="00C74062">
        <w:rPr>
          <w:rFonts w:ascii="Arial" w:eastAsia="Times New Roman" w:hAnsi="Arial" w:cs="Arial"/>
        </w:rPr>
        <w:t>Παράλληλα, δίδεται η πιο κάτω σχετική καθοδήγηση:</w:t>
      </w:r>
    </w:p>
    <w:p w14:paraId="77B195DC" w14:textId="77777777" w:rsidR="00C74062" w:rsidRPr="00C74062" w:rsidRDefault="00C74062" w:rsidP="00C74062">
      <w:pPr>
        <w:spacing w:before="240" w:after="240" w:line="240" w:lineRule="auto"/>
        <w:ind w:left="426"/>
        <w:jc w:val="both"/>
        <w:rPr>
          <w:rFonts w:ascii="Arial" w:eastAsia="Times New Roman" w:hAnsi="Arial" w:cs="Arial"/>
        </w:rPr>
      </w:pPr>
      <w:r w:rsidRPr="00C74062">
        <w:rPr>
          <w:rFonts w:ascii="Arial" w:eastAsia="Times New Roman" w:hAnsi="Arial" w:cs="Arial"/>
        </w:rPr>
        <w:t>α) Η χρήση του εξοπλισμού διακοπής και απομόνωσης (</w:t>
      </w:r>
      <w:r w:rsidRPr="00C74062">
        <w:rPr>
          <w:rFonts w:ascii="Arial" w:eastAsia="Times New Roman" w:hAnsi="Arial" w:cs="Arial"/>
          <w:lang w:val="en-US"/>
        </w:rPr>
        <w:t>switch</w:t>
      </w:r>
      <w:r w:rsidRPr="00C74062">
        <w:rPr>
          <w:rFonts w:ascii="Arial" w:eastAsia="Times New Roman" w:hAnsi="Arial" w:cs="Arial"/>
        </w:rPr>
        <w:t>-</w:t>
      </w:r>
      <w:r w:rsidRPr="00C74062">
        <w:rPr>
          <w:rFonts w:ascii="Arial" w:eastAsia="Times New Roman" w:hAnsi="Arial" w:cs="Arial"/>
          <w:lang w:val="en-US"/>
        </w:rPr>
        <w:t>disconnector</w:t>
      </w:r>
      <w:r w:rsidRPr="00C74062">
        <w:rPr>
          <w:rFonts w:ascii="Arial" w:eastAsia="Times New Roman" w:hAnsi="Arial" w:cs="Arial"/>
        </w:rPr>
        <w:t xml:space="preserve">) είναι απαραίτητη    </w:t>
      </w:r>
      <w:r w:rsidRPr="00C74062">
        <w:rPr>
          <w:rFonts w:ascii="Arial" w:eastAsia="Times New Roman" w:hAnsi="Arial" w:cs="Arial"/>
          <w:bCs/>
        </w:rPr>
        <w:t>για σκοπούς συντήρησης ή επιδιόρθωσης του μετατροπέα</w:t>
      </w:r>
      <w:r w:rsidRPr="00C74062">
        <w:rPr>
          <w:rFonts w:ascii="Arial" w:eastAsia="Times New Roman" w:hAnsi="Arial" w:cs="Arial"/>
        </w:rPr>
        <w:t>.</w:t>
      </w:r>
    </w:p>
    <w:p w14:paraId="72CF13BA" w14:textId="1840609B" w:rsidR="00C74062" w:rsidRPr="00C74062" w:rsidRDefault="00C74062" w:rsidP="00C74062">
      <w:pPr>
        <w:spacing w:before="240" w:after="240" w:line="240" w:lineRule="auto"/>
        <w:ind w:left="426"/>
        <w:jc w:val="both"/>
        <w:rPr>
          <w:rFonts w:ascii="Arial" w:eastAsia="Times New Roman" w:hAnsi="Arial" w:cs="Arial"/>
          <w:bCs/>
        </w:rPr>
      </w:pPr>
      <w:r w:rsidRPr="00C74062">
        <w:rPr>
          <w:rFonts w:ascii="Arial" w:eastAsia="Times New Roman" w:hAnsi="Arial" w:cs="Arial"/>
        </w:rPr>
        <w:t xml:space="preserve">β) Ο </w:t>
      </w:r>
      <w:r w:rsidRPr="00C74062">
        <w:rPr>
          <w:rFonts w:ascii="Arial" w:eastAsia="Times New Roman" w:hAnsi="Arial" w:cs="Arial"/>
          <w:lang w:val="en-US"/>
        </w:rPr>
        <w:t>DC</w:t>
      </w:r>
      <w:r w:rsidRPr="00C74062">
        <w:rPr>
          <w:rFonts w:ascii="Arial" w:eastAsia="Times New Roman" w:hAnsi="Arial" w:cs="Arial"/>
        </w:rPr>
        <w:t xml:space="preserve"> εξοπλισμός </w:t>
      </w:r>
      <w:bookmarkStart w:id="4" w:name="_Hlk173348108"/>
      <w:r w:rsidRPr="00C74062">
        <w:rPr>
          <w:rFonts w:ascii="Arial" w:eastAsia="Times New Roman" w:hAnsi="Arial" w:cs="Arial"/>
        </w:rPr>
        <w:t>διακοπής και απομόνωσης (</w:t>
      </w:r>
      <w:r w:rsidRPr="00C74062">
        <w:rPr>
          <w:rFonts w:ascii="Arial" w:eastAsia="Times New Roman" w:hAnsi="Arial" w:cs="Arial"/>
          <w:lang w:val="en-US"/>
        </w:rPr>
        <w:t>switch</w:t>
      </w:r>
      <w:r w:rsidRPr="00C74062">
        <w:rPr>
          <w:rFonts w:ascii="Arial" w:eastAsia="Times New Roman" w:hAnsi="Arial" w:cs="Arial"/>
        </w:rPr>
        <w:t>-</w:t>
      </w:r>
      <w:r w:rsidRPr="00C74062">
        <w:rPr>
          <w:rFonts w:ascii="Arial" w:eastAsia="Times New Roman" w:hAnsi="Arial" w:cs="Arial"/>
          <w:lang w:val="en-US"/>
        </w:rPr>
        <w:t>disconnector</w:t>
      </w:r>
      <w:r w:rsidRPr="00C74062">
        <w:rPr>
          <w:rFonts w:ascii="Arial" w:eastAsia="Times New Roman" w:hAnsi="Arial" w:cs="Arial"/>
        </w:rPr>
        <w:t>)</w:t>
      </w:r>
      <w:bookmarkEnd w:id="4"/>
      <w:r w:rsidRPr="00C74062">
        <w:rPr>
          <w:rFonts w:ascii="Arial" w:eastAsia="Times New Roman" w:hAnsi="Arial" w:cs="Arial"/>
        </w:rPr>
        <w:t xml:space="preserve"> θα πρέπει να είναι εύκολα προσβάσιμος και να δύναται να τοποθετείται πλησίον του μετατροπέα ή </w:t>
      </w:r>
      <w:r w:rsidRPr="00C74062">
        <w:rPr>
          <w:rFonts w:ascii="Arial" w:eastAsia="Times New Roman" w:hAnsi="Arial" w:cs="Arial"/>
          <w:u w:val="single"/>
        </w:rPr>
        <w:t>σε ορισμένες περιπτώσεις</w:t>
      </w:r>
      <w:r w:rsidRPr="00C74062">
        <w:rPr>
          <w:rFonts w:ascii="Arial" w:eastAsia="Times New Roman" w:hAnsi="Arial" w:cs="Arial"/>
        </w:rPr>
        <w:t xml:space="preserve">, που αναλύονται πιο κάτω, </w:t>
      </w:r>
      <w:r w:rsidR="007D4E9E">
        <w:rPr>
          <w:rFonts w:ascii="Arial" w:eastAsia="Times New Roman" w:hAnsi="Arial" w:cs="Arial"/>
        </w:rPr>
        <w:t xml:space="preserve">μπορεί </w:t>
      </w:r>
      <w:r w:rsidRPr="00C74062">
        <w:rPr>
          <w:rFonts w:ascii="Arial" w:eastAsia="Times New Roman" w:hAnsi="Arial" w:cs="Arial"/>
        </w:rPr>
        <w:t>να είναι ενσωματωμένος (</w:t>
      </w:r>
      <w:r w:rsidRPr="00C74062">
        <w:rPr>
          <w:rFonts w:ascii="Arial" w:eastAsia="Times New Roman" w:hAnsi="Arial" w:cs="Arial"/>
          <w:lang w:val="en-US"/>
        </w:rPr>
        <w:t>built</w:t>
      </w:r>
      <w:r w:rsidRPr="00C74062">
        <w:rPr>
          <w:rFonts w:ascii="Arial" w:eastAsia="Times New Roman" w:hAnsi="Arial" w:cs="Arial"/>
        </w:rPr>
        <w:t xml:space="preserve"> </w:t>
      </w:r>
      <w:r w:rsidRPr="00C74062">
        <w:rPr>
          <w:rFonts w:ascii="Arial" w:eastAsia="Times New Roman" w:hAnsi="Arial" w:cs="Arial"/>
          <w:lang w:val="en-US"/>
        </w:rPr>
        <w:t>in</w:t>
      </w:r>
      <w:r w:rsidRPr="00C74062">
        <w:rPr>
          <w:rFonts w:ascii="Arial" w:eastAsia="Times New Roman" w:hAnsi="Arial" w:cs="Arial"/>
        </w:rPr>
        <w:t xml:space="preserve">) στον μετατροπέα, </w:t>
      </w:r>
      <w:r w:rsidRPr="00C74062">
        <w:rPr>
          <w:rFonts w:ascii="Arial" w:eastAsia="Times New Roman" w:hAnsi="Arial" w:cs="Arial"/>
          <w:bCs/>
        </w:rPr>
        <w:t>για σκοπούς συντήρησης ή επιδιόρθωσης του μετατροπέα:</w:t>
      </w:r>
    </w:p>
    <w:p w14:paraId="0D34BBB0" w14:textId="77777777" w:rsidR="00C74062" w:rsidRPr="00C74062" w:rsidRDefault="00C74062" w:rsidP="00C74062">
      <w:pPr>
        <w:spacing w:before="240" w:after="240" w:line="240" w:lineRule="auto"/>
        <w:ind w:left="426"/>
        <w:jc w:val="both"/>
        <w:rPr>
          <w:rFonts w:ascii="Arial" w:eastAsia="Times New Roman" w:hAnsi="Arial" w:cs="Arial"/>
        </w:rPr>
      </w:pPr>
      <w:r w:rsidRPr="00C74062">
        <w:rPr>
          <w:rFonts w:ascii="Arial" w:eastAsia="Times New Roman" w:hAnsi="Arial" w:cs="Arial"/>
          <w:bCs/>
        </w:rPr>
        <w:t>Ε</w:t>
      </w:r>
      <w:r w:rsidRPr="00C74062">
        <w:rPr>
          <w:rFonts w:ascii="Arial" w:eastAsia="Times New Roman" w:hAnsi="Arial" w:cs="Arial"/>
        </w:rPr>
        <w:t>ξαιρουμένων των εγκαταστάσεων όπου ο μετατροπέας (</w:t>
      </w:r>
      <w:r w:rsidRPr="00C74062">
        <w:rPr>
          <w:rFonts w:ascii="Arial" w:eastAsia="Times New Roman" w:hAnsi="Arial" w:cs="Arial"/>
          <w:lang w:val="en-US"/>
        </w:rPr>
        <w:t>inverter</w:t>
      </w:r>
      <w:r w:rsidRPr="00C74062">
        <w:rPr>
          <w:rFonts w:ascii="Arial" w:eastAsia="Times New Roman" w:hAnsi="Arial" w:cs="Arial"/>
        </w:rPr>
        <w:t>) εγκαθίσταται σε χώρο στον οποίο η πρόσβαση περιορίζεται σε άτομα κατάλληλα εκπαιδευμένα και εξουσιοδοτημένα, ο ενσωματωμένος (</w:t>
      </w:r>
      <w:r w:rsidRPr="00C74062">
        <w:rPr>
          <w:rFonts w:ascii="Arial" w:eastAsia="Times New Roman" w:hAnsi="Arial" w:cs="Arial"/>
          <w:lang w:val="en-US"/>
        </w:rPr>
        <w:t>built</w:t>
      </w:r>
      <w:r w:rsidRPr="00C74062">
        <w:rPr>
          <w:rFonts w:ascii="Arial" w:eastAsia="Times New Roman" w:hAnsi="Arial" w:cs="Arial"/>
        </w:rPr>
        <w:t xml:space="preserve"> </w:t>
      </w:r>
      <w:r w:rsidRPr="00C74062">
        <w:rPr>
          <w:rFonts w:ascii="Arial" w:eastAsia="Times New Roman" w:hAnsi="Arial" w:cs="Arial"/>
          <w:lang w:val="en-US"/>
        </w:rPr>
        <w:t>in</w:t>
      </w:r>
      <w:r w:rsidRPr="00C74062">
        <w:rPr>
          <w:rFonts w:ascii="Arial" w:eastAsia="Times New Roman" w:hAnsi="Arial" w:cs="Arial"/>
        </w:rPr>
        <w:t>) εξοπλισμός διακοπής και απομόνωσης στον μετατροπέα θα πρέπει να διασφαλίζει την ασφαλή απομόνωση των συστοιχιών (</w:t>
      </w:r>
      <w:r w:rsidRPr="00C74062">
        <w:rPr>
          <w:rFonts w:ascii="Arial" w:eastAsia="Times New Roman" w:hAnsi="Arial" w:cs="Arial"/>
          <w:lang w:val="en-US"/>
        </w:rPr>
        <w:t>array</w:t>
      </w:r>
      <w:r w:rsidRPr="00C74062">
        <w:rPr>
          <w:rFonts w:ascii="Arial" w:eastAsia="Times New Roman" w:hAnsi="Arial" w:cs="Arial"/>
        </w:rPr>
        <w:t>) των φωτοβολταϊκών πλαισίων για σκοπούς επιδιόρθωσης ή συντήρησης του μετατροπέα (</w:t>
      </w:r>
      <w:r w:rsidRPr="00C74062">
        <w:rPr>
          <w:rFonts w:ascii="Arial" w:eastAsia="Times New Roman" w:hAnsi="Arial" w:cs="Arial"/>
          <w:lang w:val="en-US"/>
        </w:rPr>
        <w:t>inverter</w:t>
      </w:r>
      <w:r w:rsidRPr="00C74062">
        <w:rPr>
          <w:rFonts w:ascii="Arial" w:eastAsia="Times New Roman" w:hAnsi="Arial" w:cs="Arial"/>
        </w:rPr>
        <w:t>), μέσω της συμμόρφωσης με μία από τις πιο κάτω προϋποθέσεις:</w:t>
      </w:r>
    </w:p>
    <w:p w14:paraId="3B10FED1" w14:textId="77777777" w:rsidR="00C74062" w:rsidRPr="00C74062" w:rsidRDefault="00C74062" w:rsidP="00C74062">
      <w:pPr>
        <w:numPr>
          <w:ilvl w:val="1"/>
          <w:numId w:val="8"/>
        </w:numPr>
        <w:spacing w:before="240" w:after="240" w:line="240" w:lineRule="auto"/>
        <w:ind w:left="1276" w:hanging="425"/>
        <w:jc w:val="both"/>
        <w:rPr>
          <w:rFonts w:ascii="Arial" w:eastAsia="Times New Roman" w:hAnsi="Arial" w:cs="Arial"/>
        </w:rPr>
      </w:pPr>
      <w:r w:rsidRPr="00C74062">
        <w:rPr>
          <w:rFonts w:ascii="Arial" w:eastAsia="Times New Roman" w:hAnsi="Arial" w:cs="Arial"/>
        </w:rPr>
        <w:t>ο ενσωματωμένος εξοπλισμός διακοπής και απομόνωσης στον μετατροπέα είναι μηχανικά συνδεδεμένος με το πλαίσιο στήριξης (</w:t>
      </w:r>
      <w:r w:rsidRPr="00C74062">
        <w:rPr>
          <w:rFonts w:ascii="Arial" w:eastAsia="Times New Roman" w:hAnsi="Arial" w:cs="Arial"/>
          <w:lang w:val="en-US"/>
        </w:rPr>
        <w:t>chassis</w:t>
      </w:r>
      <w:r w:rsidRPr="00C74062">
        <w:rPr>
          <w:rFonts w:ascii="Arial" w:eastAsia="Times New Roman" w:hAnsi="Arial" w:cs="Arial"/>
        </w:rPr>
        <w:t>) του μετατροπέα, με τέτοιο τρόπο ώστε να επιτρέπει την αποσύνδεση και απομάκρυνση του υπόλοιπου μέρους του μετατροπέα από το πλαίσιο στήριξης, χωρίς να δημιουργούνται κίνδυνοι λόγω της παρουσίας ηλεκτρισμού σε εκτεθειμένα μέρη, ή</w:t>
      </w:r>
    </w:p>
    <w:p w14:paraId="160C7464" w14:textId="77777777" w:rsidR="00C74062" w:rsidRPr="00C74062" w:rsidRDefault="00C74062" w:rsidP="00C74062">
      <w:pPr>
        <w:numPr>
          <w:ilvl w:val="1"/>
          <w:numId w:val="8"/>
        </w:numPr>
        <w:spacing w:before="240" w:after="240" w:line="240" w:lineRule="auto"/>
        <w:ind w:left="1276" w:hanging="425"/>
        <w:jc w:val="both"/>
        <w:rPr>
          <w:rFonts w:ascii="Arial" w:eastAsia="Times New Roman" w:hAnsi="Arial" w:cs="Arial"/>
        </w:rPr>
      </w:pPr>
      <w:r w:rsidRPr="00C74062">
        <w:rPr>
          <w:rFonts w:ascii="Arial" w:eastAsia="Times New Roman" w:hAnsi="Arial" w:cs="Arial"/>
        </w:rPr>
        <w:t>ο ενσωματωμένος εξοπλισμός διακοπής και απομόνωσης στον μετατροπέα να είναι μανταλωμένος με το κάλυμμα των συντηρούμενων μερών του μετατροπέα ώστε, η πρόσβαση σε αυτά για σκοπούς συντήρησης, να είναι δυνατή εφόσον αυτός βρίσκεται στην ανοικτή θέση (</w:t>
      </w:r>
      <w:r w:rsidRPr="00C74062">
        <w:rPr>
          <w:rFonts w:ascii="Arial" w:eastAsia="Times New Roman" w:hAnsi="Arial" w:cs="Arial"/>
          <w:lang w:val="en-US"/>
        </w:rPr>
        <w:t>OFF</w:t>
      </w:r>
      <w:r w:rsidRPr="00C74062">
        <w:rPr>
          <w:rFonts w:ascii="Arial" w:eastAsia="Times New Roman" w:hAnsi="Arial" w:cs="Arial"/>
        </w:rPr>
        <w:t>), ή</w:t>
      </w:r>
    </w:p>
    <w:p w14:paraId="76D9D958" w14:textId="39F52034" w:rsidR="00C74062" w:rsidRPr="00C74062" w:rsidRDefault="00C74062" w:rsidP="00C74062">
      <w:pPr>
        <w:numPr>
          <w:ilvl w:val="1"/>
          <w:numId w:val="8"/>
        </w:numPr>
        <w:spacing w:before="240" w:after="240" w:line="240" w:lineRule="auto"/>
        <w:ind w:left="1276" w:hanging="425"/>
        <w:jc w:val="both"/>
        <w:rPr>
          <w:rFonts w:ascii="Arial" w:eastAsia="Times New Roman" w:hAnsi="Arial" w:cs="Arial"/>
        </w:rPr>
      </w:pPr>
      <w:r w:rsidRPr="00C74062">
        <w:rPr>
          <w:rFonts w:ascii="Arial" w:eastAsia="Times New Roman" w:hAnsi="Arial" w:cs="Arial"/>
        </w:rPr>
        <w:t>ο  εξοπλισμός διακοπής και απομόνωσης μπορεί να είναι ενσωματωμένος στον μετατροπέα, όταν ο μετατροπέας ενσωματώνει δευτερεύοντα μέσα απομόνωσης της συστοιχίας (</w:t>
      </w:r>
      <w:r w:rsidRPr="00C74062">
        <w:rPr>
          <w:rFonts w:ascii="Arial" w:eastAsia="Times New Roman" w:hAnsi="Arial" w:cs="Arial"/>
          <w:lang w:val="en-US"/>
        </w:rPr>
        <w:t>array</w:t>
      </w:r>
      <w:r w:rsidRPr="00C74062">
        <w:rPr>
          <w:rFonts w:ascii="Arial" w:eastAsia="Times New Roman" w:hAnsi="Arial" w:cs="Arial"/>
        </w:rPr>
        <w:t xml:space="preserve">) των φωτοβολταϊκών (π.χ. </w:t>
      </w:r>
      <w:r w:rsidR="00955C55">
        <w:rPr>
          <w:rFonts w:ascii="Arial" w:eastAsia="Times New Roman" w:hAnsi="Arial" w:cs="Arial"/>
        </w:rPr>
        <w:t>ασφαλείς συνδετήρες σύμφωνα με το ΕΝ</w:t>
      </w:r>
      <w:r w:rsidR="00955C55" w:rsidRPr="00955C55">
        <w:rPr>
          <w:rFonts w:ascii="Arial" w:eastAsia="Times New Roman" w:hAnsi="Arial" w:cs="Arial"/>
        </w:rPr>
        <w:t xml:space="preserve">62852, </w:t>
      </w:r>
      <w:r w:rsidR="00955C55">
        <w:rPr>
          <w:rFonts w:ascii="Arial" w:eastAsia="Times New Roman" w:hAnsi="Arial" w:cs="Arial"/>
        </w:rPr>
        <w:t xml:space="preserve">τύπου </w:t>
      </w:r>
      <w:r w:rsidR="00955C55">
        <w:rPr>
          <w:rFonts w:ascii="Arial" w:eastAsia="Times New Roman" w:hAnsi="Arial" w:cs="Arial"/>
          <w:lang w:val="en-US"/>
        </w:rPr>
        <w:t>MC</w:t>
      </w:r>
      <w:r w:rsidR="00955C55" w:rsidRPr="00955C55">
        <w:rPr>
          <w:rFonts w:ascii="Arial" w:eastAsia="Times New Roman" w:hAnsi="Arial" w:cs="Arial"/>
        </w:rPr>
        <w:t>4</w:t>
      </w:r>
      <w:r w:rsidRPr="00C74062">
        <w:rPr>
          <w:rFonts w:ascii="Arial" w:eastAsia="Times New Roman" w:hAnsi="Arial" w:cs="Arial"/>
        </w:rPr>
        <w:t xml:space="preserve">). Τα δευτερεύοντα μέσα απομόνωσης θα δύνανται να ενεργοποιηθούν μόνο με τη χρήση κατάλληλου εργαλείου. Επιπρόσθετα, ο μετατροπέας θα φέρει κατάλληλη σήμανση που να επεξηγεί με ποιόν τρόπο επιτυγχάνεται η απομόνωση της συστοιχίας των φωτοβολταϊκών πλαισίων. Επιπλέον, θα πρέπει να υπάρχει κατάλληλη σήμανση στα δευτερεύοντα μέσα απομόνωσης, ώστε να αποτρέπεται η απομόνωση της συστοιχίας φωτοβολταϊκών </w:t>
      </w:r>
      <w:r w:rsidRPr="00C74062">
        <w:rPr>
          <w:rFonts w:ascii="Arial" w:eastAsia="Times New Roman" w:hAnsi="Arial" w:cs="Arial"/>
          <w:b/>
          <w:bCs/>
        </w:rPr>
        <w:t>υπό φορτίο</w:t>
      </w:r>
      <w:r w:rsidRPr="00C74062">
        <w:rPr>
          <w:rFonts w:ascii="Arial" w:eastAsia="Times New Roman" w:hAnsi="Arial" w:cs="Arial"/>
        </w:rPr>
        <w:t>.</w:t>
      </w:r>
    </w:p>
    <w:p w14:paraId="0574E35D" w14:textId="139CDF36" w:rsidR="00A4591F" w:rsidRPr="007D4E9E" w:rsidRDefault="00A4591F" w:rsidP="00A4591F">
      <w:pPr>
        <w:ind w:left="-142"/>
        <w:jc w:val="both"/>
        <w:rPr>
          <w:rFonts w:ascii="Arial" w:eastAsia="Calibri" w:hAnsi="Arial" w:cs="Arial"/>
          <w:b/>
          <w:u w:val="single"/>
        </w:rPr>
      </w:pPr>
      <w:r>
        <w:rPr>
          <w:rFonts w:ascii="Arial" w:eastAsia="Calibri" w:hAnsi="Arial" w:cs="Arial"/>
          <w:b/>
          <w:u w:val="single"/>
        </w:rPr>
        <w:t xml:space="preserve">Β. </w:t>
      </w:r>
      <w:r w:rsidR="006E1C2C">
        <w:rPr>
          <w:rFonts w:ascii="Arial" w:eastAsia="Calibri" w:hAnsi="Arial" w:cs="Arial"/>
          <w:b/>
          <w:u w:val="single"/>
        </w:rPr>
        <w:t xml:space="preserve">Πληρότητα ηλεκτρολογικών μελετών </w:t>
      </w:r>
    </w:p>
    <w:p w14:paraId="3B7C80C9" w14:textId="452F7C3C" w:rsidR="00A70AF9" w:rsidRDefault="00A70AF9" w:rsidP="00A70AF9">
      <w:pPr>
        <w:ind w:left="-142"/>
        <w:jc w:val="both"/>
        <w:rPr>
          <w:rFonts w:ascii="Arial" w:hAnsi="Arial" w:cs="Arial"/>
        </w:rPr>
      </w:pPr>
      <w:r>
        <w:rPr>
          <w:rFonts w:ascii="Arial" w:hAnsi="Arial" w:cs="Arial"/>
        </w:rPr>
        <w:t>Για σκοπούς διευκόλυνσης της διαδικασίας επιθεώρησης τ</w:t>
      </w:r>
      <w:r w:rsidR="003617BF">
        <w:rPr>
          <w:rFonts w:ascii="Arial" w:hAnsi="Arial" w:cs="Arial"/>
        </w:rPr>
        <w:t>ων ηλεκτρικών</w:t>
      </w:r>
      <w:r>
        <w:rPr>
          <w:rFonts w:ascii="Arial" w:hAnsi="Arial" w:cs="Arial"/>
        </w:rPr>
        <w:t xml:space="preserve"> εγκατ</w:t>
      </w:r>
      <w:r w:rsidR="003617BF">
        <w:rPr>
          <w:rFonts w:ascii="Arial" w:hAnsi="Arial" w:cs="Arial"/>
        </w:rPr>
        <w:t xml:space="preserve">αστάσεων </w:t>
      </w:r>
      <w:r>
        <w:rPr>
          <w:rFonts w:ascii="Arial" w:hAnsi="Arial" w:cs="Arial"/>
        </w:rPr>
        <w:t>και της όσο το δυνατό πληρέστερης αξιολόγησης της συμμόρφωσής τ</w:t>
      </w:r>
      <w:r w:rsidR="003617BF">
        <w:rPr>
          <w:rFonts w:ascii="Arial" w:hAnsi="Arial" w:cs="Arial"/>
        </w:rPr>
        <w:t>ου</w:t>
      </w:r>
      <w:r>
        <w:rPr>
          <w:rFonts w:ascii="Arial" w:hAnsi="Arial" w:cs="Arial"/>
        </w:rPr>
        <w:t>ς</w:t>
      </w:r>
      <w:r w:rsidR="00955C55" w:rsidRPr="00955C55">
        <w:rPr>
          <w:rFonts w:ascii="Arial" w:hAnsi="Arial" w:cs="Arial"/>
        </w:rPr>
        <w:t>,</w:t>
      </w:r>
      <w:r>
        <w:rPr>
          <w:rFonts w:ascii="Arial" w:hAnsi="Arial" w:cs="Arial"/>
        </w:rPr>
        <w:t xml:space="preserve"> με την περί Ηλεκτρισμού Νομοθεσία, θα πρέπει </w:t>
      </w:r>
      <w:r w:rsidR="00873668">
        <w:rPr>
          <w:rFonts w:ascii="Arial" w:hAnsi="Arial" w:cs="Arial"/>
        </w:rPr>
        <w:t xml:space="preserve">ο </w:t>
      </w:r>
      <w:r w:rsidR="007D4E9E" w:rsidRPr="007D4E9E">
        <w:rPr>
          <w:rFonts w:ascii="Arial" w:hAnsi="Arial" w:cs="Arial"/>
        </w:rPr>
        <w:t>Με</w:t>
      </w:r>
      <w:r w:rsidR="00873668">
        <w:rPr>
          <w:rFonts w:ascii="Arial" w:hAnsi="Arial" w:cs="Arial"/>
        </w:rPr>
        <w:t xml:space="preserve">λετητής της εγκατάστασης </w:t>
      </w:r>
      <w:r>
        <w:rPr>
          <w:rFonts w:ascii="Arial" w:hAnsi="Arial" w:cs="Arial"/>
        </w:rPr>
        <w:t>να καθορίζε</w:t>
      </w:r>
      <w:r w:rsidR="00873668">
        <w:rPr>
          <w:rFonts w:ascii="Arial" w:hAnsi="Arial" w:cs="Arial"/>
        </w:rPr>
        <w:t>ι</w:t>
      </w:r>
      <w:r>
        <w:rPr>
          <w:rFonts w:ascii="Arial" w:hAnsi="Arial" w:cs="Arial"/>
        </w:rPr>
        <w:t xml:space="preserve"> </w:t>
      </w:r>
      <w:r w:rsidR="003617BF">
        <w:rPr>
          <w:rFonts w:ascii="Arial" w:hAnsi="Arial" w:cs="Arial"/>
        </w:rPr>
        <w:t xml:space="preserve">πλήρως </w:t>
      </w:r>
      <w:r>
        <w:rPr>
          <w:rFonts w:ascii="Arial" w:hAnsi="Arial" w:cs="Arial"/>
        </w:rPr>
        <w:t>τόσο στα σχέδια της εγκατάστασης</w:t>
      </w:r>
      <w:r w:rsidR="00955C55" w:rsidRPr="00955C55">
        <w:rPr>
          <w:rFonts w:ascii="Arial" w:hAnsi="Arial" w:cs="Arial"/>
        </w:rPr>
        <w:t>,</w:t>
      </w:r>
      <w:r>
        <w:rPr>
          <w:rFonts w:ascii="Arial" w:hAnsi="Arial" w:cs="Arial"/>
        </w:rPr>
        <w:t xml:space="preserve"> όσο και στα σχετικά έντυπα της Επιθεώρησης</w:t>
      </w:r>
      <w:r w:rsidR="00873668">
        <w:rPr>
          <w:rFonts w:ascii="Arial" w:hAnsi="Arial" w:cs="Arial"/>
        </w:rPr>
        <w:t xml:space="preserve">, </w:t>
      </w:r>
      <w:r w:rsidR="00BC29C4">
        <w:rPr>
          <w:rFonts w:ascii="Arial" w:hAnsi="Arial" w:cs="Arial"/>
        </w:rPr>
        <w:t>τη</w:t>
      </w:r>
      <w:r w:rsidR="003E4EE2" w:rsidRPr="003E4EE2">
        <w:rPr>
          <w:rFonts w:ascii="Arial" w:hAnsi="Arial" w:cs="Arial"/>
        </w:rPr>
        <w:t xml:space="preserve"> θέση, </w:t>
      </w:r>
      <w:r w:rsidR="00BC29C4">
        <w:rPr>
          <w:rFonts w:ascii="Arial" w:hAnsi="Arial" w:cs="Arial"/>
        </w:rPr>
        <w:t>τον</w:t>
      </w:r>
      <w:r w:rsidR="003E4EE2" w:rsidRPr="003E4EE2">
        <w:rPr>
          <w:rFonts w:ascii="Arial" w:hAnsi="Arial" w:cs="Arial"/>
        </w:rPr>
        <w:t xml:space="preserve"> τύπο</w:t>
      </w:r>
      <w:r w:rsidR="00BC29C4">
        <w:rPr>
          <w:rFonts w:ascii="Arial" w:hAnsi="Arial" w:cs="Arial"/>
        </w:rPr>
        <w:t xml:space="preserve"> του</w:t>
      </w:r>
      <w:r w:rsidR="003E4EE2" w:rsidRPr="003E4EE2">
        <w:rPr>
          <w:rFonts w:ascii="Arial" w:hAnsi="Arial" w:cs="Arial"/>
        </w:rPr>
        <w:t xml:space="preserve"> εξοπλισμού και υλικών </w:t>
      </w:r>
      <w:r w:rsidR="00BC29C4">
        <w:rPr>
          <w:rFonts w:ascii="Arial" w:hAnsi="Arial" w:cs="Arial"/>
        </w:rPr>
        <w:t>κ</w:t>
      </w:r>
      <w:r w:rsidR="003E4EE2" w:rsidRPr="003E4EE2">
        <w:rPr>
          <w:rFonts w:ascii="Arial" w:hAnsi="Arial" w:cs="Arial"/>
        </w:rPr>
        <w:t xml:space="preserve">αι, όπου είναι απαραίτητο </w:t>
      </w:r>
      <w:r w:rsidR="00284F1C">
        <w:rPr>
          <w:rFonts w:ascii="Arial" w:hAnsi="Arial" w:cs="Arial"/>
        </w:rPr>
        <w:t>τη διαστασιολόγηση, τη δυναμικότητα και τα κρίσιμα χαρακτηριστικά λειτουργίας</w:t>
      </w:r>
      <w:r w:rsidR="003E4EE2" w:rsidRPr="003E4EE2">
        <w:rPr>
          <w:rFonts w:ascii="Arial" w:hAnsi="Arial" w:cs="Arial"/>
        </w:rPr>
        <w:t xml:space="preserve"> </w:t>
      </w:r>
      <w:r w:rsidR="00A70A80">
        <w:rPr>
          <w:rFonts w:ascii="Arial" w:hAnsi="Arial" w:cs="Arial"/>
        </w:rPr>
        <w:t xml:space="preserve">του </w:t>
      </w:r>
      <w:r w:rsidR="003E4EE2" w:rsidRPr="003E4EE2">
        <w:rPr>
          <w:rFonts w:ascii="Arial" w:hAnsi="Arial" w:cs="Arial"/>
        </w:rPr>
        <w:t>εξοπλισμού και</w:t>
      </w:r>
      <w:r w:rsidR="00A70A80">
        <w:rPr>
          <w:rFonts w:ascii="Arial" w:hAnsi="Arial" w:cs="Arial"/>
        </w:rPr>
        <w:t xml:space="preserve"> των</w:t>
      </w:r>
      <w:r w:rsidR="003E4EE2" w:rsidRPr="003E4EE2">
        <w:rPr>
          <w:rFonts w:ascii="Arial" w:hAnsi="Arial" w:cs="Arial"/>
        </w:rPr>
        <w:t xml:space="preserve"> υλικών κατασκευής</w:t>
      </w:r>
      <w:r w:rsidR="00955C55" w:rsidRPr="00264AD7">
        <w:rPr>
          <w:rFonts w:ascii="Arial" w:hAnsi="Arial" w:cs="Arial"/>
        </w:rPr>
        <w:t xml:space="preserve">, </w:t>
      </w:r>
      <w:r w:rsidR="00EA304F">
        <w:rPr>
          <w:rFonts w:ascii="Arial" w:hAnsi="Arial" w:cs="Arial"/>
        </w:rPr>
        <w:t>τη μέθοδο και τρόπο εγκατάστασης</w:t>
      </w:r>
      <w:r>
        <w:rPr>
          <w:rFonts w:ascii="Arial" w:hAnsi="Arial" w:cs="Arial"/>
        </w:rPr>
        <w:t>.</w:t>
      </w:r>
    </w:p>
    <w:p w14:paraId="7A04F406" w14:textId="3034E424" w:rsidR="00806651" w:rsidRDefault="00806651" w:rsidP="00A70AF9">
      <w:pPr>
        <w:ind w:left="-142"/>
        <w:jc w:val="both"/>
        <w:rPr>
          <w:rFonts w:ascii="Arial" w:hAnsi="Arial" w:cs="Arial"/>
        </w:rPr>
      </w:pPr>
      <w:r>
        <w:rPr>
          <w:rFonts w:ascii="Arial" w:hAnsi="Arial" w:cs="Arial"/>
        </w:rPr>
        <w:t xml:space="preserve">Τα πιο πάνω, αφορούν ιδιαίτερα τις περιπτώσεις όπου η διαστασιολόγηση </w:t>
      </w:r>
      <w:r w:rsidR="00264AD7">
        <w:rPr>
          <w:rFonts w:ascii="Arial" w:hAnsi="Arial" w:cs="Arial"/>
        </w:rPr>
        <w:t xml:space="preserve">του </w:t>
      </w:r>
      <w:r>
        <w:rPr>
          <w:rFonts w:ascii="Arial" w:hAnsi="Arial" w:cs="Arial"/>
        </w:rPr>
        <w:t>εξοπλισμού βασίζεται σε υπολογισμού</w:t>
      </w:r>
      <w:r w:rsidR="00D731F7">
        <w:rPr>
          <w:rFonts w:ascii="Arial" w:hAnsi="Arial" w:cs="Arial"/>
        </w:rPr>
        <w:t xml:space="preserve">ς </w:t>
      </w:r>
      <w:r w:rsidR="00EA304F">
        <w:rPr>
          <w:rFonts w:ascii="Arial" w:hAnsi="Arial" w:cs="Arial"/>
        </w:rPr>
        <w:t xml:space="preserve">και επιλογή </w:t>
      </w:r>
      <w:r w:rsidR="00D731F7">
        <w:rPr>
          <w:rFonts w:ascii="Arial" w:hAnsi="Arial" w:cs="Arial"/>
        </w:rPr>
        <w:t>που διενεργήθηκαν κατά το στάδιο της</w:t>
      </w:r>
      <w:r>
        <w:rPr>
          <w:rFonts w:ascii="Arial" w:hAnsi="Arial" w:cs="Arial"/>
        </w:rPr>
        <w:t xml:space="preserve"> μελέτη</w:t>
      </w:r>
      <w:r w:rsidR="00D731F7">
        <w:rPr>
          <w:rFonts w:ascii="Arial" w:hAnsi="Arial" w:cs="Arial"/>
        </w:rPr>
        <w:t xml:space="preserve">ς </w:t>
      </w:r>
      <w:r w:rsidR="00EA304F">
        <w:rPr>
          <w:rFonts w:ascii="Arial" w:hAnsi="Arial" w:cs="Arial"/>
        </w:rPr>
        <w:t xml:space="preserve">από το </w:t>
      </w:r>
      <w:r w:rsidR="00264AD7">
        <w:rPr>
          <w:rFonts w:ascii="Arial" w:hAnsi="Arial" w:cs="Arial"/>
        </w:rPr>
        <w:t>Μ</w:t>
      </w:r>
      <w:r w:rsidR="00EA304F">
        <w:rPr>
          <w:rFonts w:ascii="Arial" w:hAnsi="Arial" w:cs="Arial"/>
        </w:rPr>
        <w:t xml:space="preserve">ελετητή </w:t>
      </w:r>
      <w:r w:rsidR="00D731F7">
        <w:rPr>
          <w:rFonts w:ascii="Arial" w:hAnsi="Arial" w:cs="Arial"/>
        </w:rPr>
        <w:t xml:space="preserve">όπως </w:t>
      </w:r>
      <w:r w:rsidR="00D731F7">
        <w:rPr>
          <w:rFonts w:ascii="Arial" w:hAnsi="Arial" w:cs="Arial"/>
        </w:rPr>
        <w:lastRenderedPageBreak/>
        <w:t xml:space="preserve">π.χ. </w:t>
      </w:r>
      <w:r w:rsidR="00EA304F">
        <w:rPr>
          <w:rFonts w:ascii="Arial" w:hAnsi="Arial" w:cs="Arial"/>
        </w:rPr>
        <w:t>η</w:t>
      </w:r>
      <w:r w:rsidR="00CD6BC4">
        <w:rPr>
          <w:rFonts w:ascii="Arial" w:hAnsi="Arial" w:cs="Arial"/>
        </w:rPr>
        <w:t xml:space="preserve"> </w:t>
      </w:r>
      <w:r w:rsidR="00EA304F">
        <w:rPr>
          <w:rFonts w:ascii="Arial" w:hAnsi="Arial" w:cs="Arial"/>
        </w:rPr>
        <w:t>διαστασιολόγηση καλωδίων</w:t>
      </w:r>
      <w:r w:rsidR="00CD6BC4">
        <w:rPr>
          <w:rFonts w:ascii="Arial" w:hAnsi="Arial" w:cs="Arial"/>
        </w:rPr>
        <w:t>, ο</w:t>
      </w:r>
      <w:r w:rsidR="001A1F6C">
        <w:rPr>
          <w:rFonts w:ascii="Arial" w:hAnsi="Arial" w:cs="Arial"/>
        </w:rPr>
        <w:t xml:space="preserve"> τύπος και η δυναμικότητα των μέσων προστασίας και </w:t>
      </w:r>
      <w:r w:rsidR="00EE4FFF">
        <w:rPr>
          <w:rFonts w:ascii="Arial" w:hAnsi="Arial" w:cs="Arial"/>
        </w:rPr>
        <w:t xml:space="preserve">ο καθορισμός των </w:t>
      </w:r>
      <w:r w:rsidR="001A1F6C">
        <w:rPr>
          <w:rFonts w:ascii="Arial" w:hAnsi="Arial" w:cs="Arial"/>
        </w:rPr>
        <w:t>χαρακτηριστικ</w:t>
      </w:r>
      <w:r w:rsidR="00EE4FFF">
        <w:rPr>
          <w:rFonts w:ascii="Arial" w:hAnsi="Arial" w:cs="Arial"/>
        </w:rPr>
        <w:t xml:space="preserve">ών των </w:t>
      </w:r>
      <w:r w:rsidR="001A1F6C">
        <w:rPr>
          <w:rFonts w:ascii="Arial" w:hAnsi="Arial" w:cs="Arial"/>
        </w:rPr>
        <w:t>σ</w:t>
      </w:r>
      <w:r w:rsidR="00EE4FFF">
        <w:rPr>
          <w:rFonts w:ascii="Arial" w:hAnsi="Arial" w:cs="Arial"/>
        </w:rPr>
        <w:t xml:space="preserve">υσκευών </w:t>
      </w:r>
      <w:r w:rsidR="001A1F6C">
        <w:rPr>
          <w:rFonts w:ascii="Arial" w:hAnsi="Arial" w:cs="Arial"/>
        </w:rPr>
        <w:t>π</w:t>
      </w:r>
      <w:r w:rsidR="00EE4FFF">
        <w:rPr>
          <w:rFonts w:ascii="Arial" w:hAnsi="Arial" w:cs="Arial"/>
        </w:rPr>
        <w:t xml:space="preserve">ροστασίας έναντι υπερτάσεων </w:t>
      </w:r>
      <w:r w:rsidR="00EE4FFF" w:rsidRPr="00EE4FFF">
        <w:rPr>
          <w:rFonts w:ascii="Arial" w:hAnsi="Arial" w:cs="Arial"/>
        </w:rPr>
        <w:t>(</w:t>
      </w:r>
      <w:r w:rsidR="00EE4FFF">
        <w:rPr>
          <w:rFonts w:ascii="Arial" w:hAnsi="Arial" w:cs="Arial"/>
          <w:lang w:val="en-US"/>
        </w:rPr>
        <w:t>SPDs</w:t>
      </w:r>
      <w:r w:rsidR="00EE4FFF" w:rsidRPr="00EE4FFF">
        <w:rPr>
          <w:rFonts w:ascii="Arial" w:hAnsi="Arial" w:cs="Arial"/>
        </w:rPr>
        <w:t>)</w:t>
      </w:r>
      <w:r w:rsidR="00D731F7">
        <w:rPr>
          <w:rFonts w:ascii="Arial" w:hAnsi="Arial" w:cs="Arial"/>
        </w:rPr>
        <w:t xml:space="preserve">. </w:t>
      </w:r>
    </w:p>
    <w:p w14:paraId="01F9CB9E" w14:textId="17E9ED88" w:rsidR="00D731F7" w:rsidRPr="00D731F7" w:rsidRDefault="00D731F7" w:rsidP="00D731F7">
      <w:pPr>
        <w:ind w:left="-142"/>
        <w:jc w:val="both"/>
        <w:rPr>
          <w:rFonts w:ascii="Arial" w:hAnsi="Arial" w:cs="Arial"/>
        </w:rPr>
      </w:pPr>
      <w:r w:rsidRPr="00D731F7">
        <w:rPr>
          <w:rFonts w:ascii="Arial" w:hAnsi="Arial" w:cs="Arial"/>
        </w:rPr>
        <w:t>Νοείται ότι, σε περίπτωση που στα σχέδια της ηλεκτρικής εγκατάστασης δεν καθορίζ</w:t>
      </w:r>
      <w:r w:rsidR="00043FAA">
        <w:rPr>
          <w:rFonts w:ascii="Arial" w:hAnsi="Arial" w:cs="Arial"/>
        </w:rPr>
        <w:t>ον</w:t>
      </w:r>
      <w:r w:rsidRPr="00D731F7">
        <w:rPr>
          <w:rFonts w:ascii="Arial" w:hAnsi="Arial" w:cs="Arial"/>
        </w:rPr>
        <w:t xml:space="preserve">ται επαρκώς </w:t>
      </w:r>
      <w:r w:rsidR="00043FAA">
        <w:rPr>
          <w:rFonts w:ascii="Arial" w:hAnsi="Arial" w:cs="Arial"/>
        </w:rPr>
        <w:t>τα πιο πάνω</w:t>
      </w:r>
      <w:r w:rsidRPr="00D731F7">
        <w:rPr>
          <w:rFonts w:ascii="Arial" w:hAnsi="Arial" w:cs="Arial"/>
        </w:rPr>
        <w:t xml:space="preserve">, οι επιθεωρητές, για σκοπούς διασφάλισης της ασφάλειας του κοινού, είναι υποχρεωμένοι να ελέγξουν την εγκατάσταση </w:t>
      </w:r>
      <w:r w:rsidRPr="00D731F7">
        <w:rPr>
          <w:rFonts w:ascii="Arial" w:hAnsi="Arial" w:cs="Arial"/>
          <w:b/>
          <w:u w:val="single"/>
        </w:rPr>
        <w:t>λαμβάνοντας υπόψη τη δυσμενέστερη περίπτωση.</w:t>
      </w:r>
      <w:r w:rsidRPr="00D731F7">
        <w:rPr>
          <w:rFonts w:ascii="Arial" w:hAnsi="Arial" w:cs="Arial"/>
        </w:rPr>
        <w:t xml:space="preserve">  </w:t>
      </w:r>
    </w:p>
    <w:p w14:paraId="3A443790" w14:textId="77777777" w:rsidR="00D731F7" w:rsidRDefault="00D731F7" w:rsidP="00A70AF9">
      <w:pPr>
        <w:ind w:left="-142"/>
        <w:jc w:val="both"/>
        <w:rPr>
          <w:rFonts w:ascii="Arial" w:hAnsi="Arial" w:cs="Arial"/>
        </w:rPr>
      </w:pPr>
    </w:p>
    <w:p w14:paraId="738D2FAC" w14:textId="4449B3D0" w:rsidR="00A0392C" w:rsidRPr="00A0392C" w:rsidRDefault="00FD4074" w:rsidP="00A0392C">
      <w:pPr>
        <w:spacing w:after="0" w:line="276" w:lineRule="auto"/>
        <w:ind w:left="-142"/>
        <w:jc w:val="both"/>
        <w:rPr>
          <w:rFonts w:ascii="Arial" w:eastAsia="Times New Roman" w:hAnsi="Arial" w:cs="Arial"/>
        </w:rPr>
      </w:pPr>
      <w:r>
        <w:rPr>
          <w:rFonts w:ascii="Arial" w:eastAsia="Times New Roman" w:hAnsi="Arial" w:cs="Arial"/>
        </w:rPr>
        <w:t>Ω</w:t>
      </w:r>
      <w:r w:rsidR="00A0392C" w:rsidRPr="00A0392C">
        <w:rPr>
          <w:rFonts w:ascii="Arial" w:eastAsia="Times New Roman" w:hAnsi="Arial" w:cs="Arial"/>
        </w:rPr>
        <w:t xml:space="preserve">ς εκ των πιο πάνω, παρακαλώ για τη συμμόρφωση με τις σχετικές πρόνοιες των Κανονισμών. </w:t>
      </w:r>
    </w:p>
    <w:p w14:paraId="1A030D3B" w14:textId="021F56A5" w:rsidR="00C21588" w:rsidRDefault="00C21588" w:rsidP="00A0392C">
      <w:pPr>
        <w:spacing w:after="0" w:line="240" w:lineRule="auto"/>
        <w:ind w:left="-142"/>
        <w:jc w:val="both"/>
        <w:rPr>
          <w:rFonts w:ascii="Arial" w:eastAsia="Times New Roman" w:hAnsi="Arial" w:cs="Arial"/>
        </w:rPr>
      </w:pPr>
    </w:p>
    <w:sectPr w:rsidR="00C21588" w:rsidSect="001A7364">
      <w:footerReference w:type="default" r:id="rId11"/>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5F74E" w14:textId="77777777" w:rsidR="00DA2754" w:rsidRDefault="00DA2754" w:rsidP="00F12988">
      <w:pPr>
        <w:spacing w:after="0" w:line="240" w:lineRule="auto"/>
      </w:pPr>
      <w:r>
        <w:separator/>
      </w:r>
    </w:p>
  </w:endnote>
  <w:endnote w:type="continuationSeparator" w:id="0">
    <w:p w14:paraId="3BFDE147" w14:textId="77777777" w:rsidR="00DA2754" w:rsidRDefault="00DA2754" w:rsidP="00F1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948F" w14:textId="77777777" w:rsidR="00F12988" w:rsidRPr="00F12988" w:rsidRDefault="00F12988" w:rsidP="00F12988">
    <w:pPr>
      <w:pBdr>
        <w:bottom w:val="single" w:sz="6" w:space="1" w:color="auto"/>
      </w:pBdr>
      <w:spacing w:after="0" w:line="240" w:lineRule="auto"/>
      <w:rPr>
        <w:rFonts w:ascii="Tahoma" w:eastAsia="Calibri" w:hAnsi="Tahoma" w:cs="Tahoma"/>
        <w:sz w:val="12"/>
        <w:szCs w:val="12"/>
      </w:rPr>
    </w:pPr>
  </w:p>
  <w:tbl>
    <w:tblPr>
      <w:tblW w:w="9747" w:type="dxa"/>
      <w:tblLook w:val="04A0" w:firstRow="1" w:lastRow="0" w:firstColumn="1" w:lastColumn="0" w:noHBand="0" w:noVBand="1"/>
    </w:tblPr>
    <w:tblGrid>
      <w:gridCol w:w="1101"/>
      <w:gridCol w:w="1167"/>
      <w:gridCol w:w="7479"/>
    </w:tblGrid>
    <w:tr w:rsidR="00613F84" w:rsidRPr="006221FA" w14:paraId="506C9484" w14:textId="77777777" w:rsidTr="008838DD">
      <w:trPr>
        <w:trHeight w:val="850"/>
      </w:trPr>
      <w:tc>
        <w:tcPr>
          <w:tcW w:w="1101" w:type="dxa"/>
        </w:tcPr>
        <w:p w14:paraId="26D8F6E8" w14:textId="16131907" w:rsidR="00613F84" w:rsidRPr="00613F84" w:rsidRDefault="00613F84" w:rsidP="00613F84">
          <w:pPr>
            <w:keepNext/>
            <w:spacing w:after="0" w:line="240" w:lineRule="auto"/>
            <w:ind w:right="-717"/>
            <w:outlineLvl w:val="6"/>
            <w:rPr>
              <w:rFonts w:ascii="Tahoma" w:eastAsia="Times New Roman" w:hAnsi="Tahoma" w:cs="Tahoma"/>
              <w:iCs/>
              <w:sz w:val="20"/>
              <w:szCs w:val="24"/>
              <w:lang w:val="en-GB"/>
            </w:rPr>
          </w:pPr>
        </w:p>
      </w:tc>
      <w:tc>
        <w:tcPr>
          <w:tcW w:w="1167" w:type="dxa"/>
        </w:tcPr>
        <w:p w14:paraId="6C84E03F" w14:textId="2F817FDD" w:rsidR="00613F84" w:rsidRPr="00613F84" w:rsidRDefault="00613F84" w:rsidP="00613F84">
          <w:pPr>
            <w:keepNext/>
            <w:spacing w:after="0" w:line="240" w:lineRule="auto"/>
            <w:ind w:right="-717"/>
            <w:outlineLvl w:val="6"/>
            <w:rPr>
              <w:rFonts w:ascii="Tahoma" w:eastAsia="Times New Roman" w:hAnsi="Tahoma" w:cs="Tahoma"/>
              <w:iCs/>
              <w:sz w:val="20"/>
              <w:szCs w:val="24"/>
              <w:lang w:val="en-GB"/>
            </w:rPr>
          </w:pPr>
        </w:p>
      </w:tc>
      <w:tc>
        <w:tcPr>
          <w:tcW w:w="7479" w:type="dxa"/>
          <w:vMerge w:val="restart"/>
          <w:vAlign w:val="center"/>
        </w:tcPr>
        <w:p w14:paraId="409BB30B" w14:textId="77777777" w:rsidR="00613F84" w:rsidRPr="00613F84" w:rsidRDefault="00613F84" w:rsidP="00613F84">
          <w:pPr>
            <w:keepNext/>
            <w:spacing w:after="0" w:line="240" w:lineRule="auto"/>
            <w:ind w:right="-717"/>
            <w:outlineLvl w:val="6"/>
            <w:rPr>
              <w:rFonts w:ascii="Tahoma" w:eastAsia="Times New Roman" w:hAnsi="Tahoma" w:cs="Tahoma"/>
              <w:iCs/>
              <w:sz w:val="20"/>
              <w:szCs w:val="24"/>
            </w:rPr>
          </w:pPr>
          <w:proofErr w:type="spellStart"/>
          <w:r w:rsidRPr="00613F84">
            <w:rPr>
              <w:rFonts w:ascii="Arial" w:eastAsia="Times New Roman" w:hAnsi="Arial" w:cs="Arial"/>
              <w:bCs/>
              <w:iCs/>
              <w:sz w:val="14"/>
              <w:szCs w:val="14"/>
            </w:rPr>
            <w:t>Λεωφ</w:t>
          </w:r>
          <w:proofErr w:type="spellEnd"/>
          <w:r w:rsidRPr="00613F84">
            <w:rPr>
              <w:rFonts w:ascii="Arial" w:eastAsia="Times New Roman" w:hAnsi="Arial" w:cs="Arial"/>
              <w:bCs/>
              <w:iCs/>
              <w:sz w:val="14"/>
              <w:szCs w:val="14"/>
            </w:rPr>
            <w:t xml:space="preserve">. Αγίου </w:t>
          </w:r>
          <w:proofErr w:type="spellStart"/>
          <w:r w:rsidRPr="00613F84">
            <w:rPr>
              <w:rFonts w:ascii="Arial" w:eastAsia="Times New Roman" w:hAnsi="Arial" w:cs="Arial"/>
              <w:bCs/>
              <w:iCs/>
              <w:sz w:val="14"/>
              <w:szCs w:val="14"/>
            </w:rPr>
            <w:t>Ιλαρίωνος</w:t>
          </w:r>
          <w:proofErr w:type="spellEnd"/>
          <w:r w:rsidRPr="00613F84">
            <w:rPr>
              <w:rFonts w:ascii="Arial" w:eastAsia="Times New Roman" w:hAnsi="Arial" w:cs="Arial"/>
              <w:bCs/>
              <w:iCs/>
              <w:sz w:val="14"/>
              <w:szCs w:val="14"/>
            </w:rPr>
            <w:t xml:space="preserve">, </w:t>
          </w:r>
          <w:proofErr w:type="spellStart"/>
          <w:r w:rsidRPr="00613F84">
            <w:rPr>
              <w:rFonts w:ascii="Arial" w:eastAsia="Times New Roman" w:hAnsi="Arial" w:cs="Arial"/>
              <w:bCs/>
              <w:iCs/>
              <w:sz w:val="14"/>
              <w:szCs w:val="14"/>
            </w:rPr>
            <w:t>Καΐμακλι</w:t>
          </w:r>
          <w:proofErr w:type="spellEnd"/>
          <w:r w:rsidRPr="00613F84">
            <w:rPr>
              <w:rFonts w:ascii="Arial" w:eastAsia="Times New Roman" w:hAnsi="Arial" w:cs="Arial"/>
              <w:bCs/>
              <w:iCs/>
              <w:sz w:val="14"/>
              <w:szCs w:val="14"/>
            </w:rPr>
            <w:t xml:space="preserve">, 1426 Λευκωσία,   </w:t>
          </w:r>
          <w:proofErr w:type="spellStart"/>
          <w:r w:rsidRPr="00613F84">
            <w:rPr>
              <w:rFonts w:ascii="Arial" w:eastAsia="Times New Roman" w:hAnsi="Arial" w:cs="Arial"/>
              <w:bCs/>
              <w:sz w:val="14"/>
              <w:szCs w:val="14"/>
            </w:rPr>
            <w:t>Ταχ</w:t>
          </w:r>
          <w:proofErr w:type="spellEnd"/>
          <w:r w:rsidRPr="00613F84">
            <w:rPr>
              <w:rFonts w:ascii="Arial" w:eastAsia="Times New Roman" w:hAnsi="Arial" w:cs="Arial"/>
              <w:bCs/>
              <w:sz w:val="14"/>
              <w:szCs w:val="14"/>
            </w:rPr>
            <w:t xml:space="preserve">. </w:t>
          </w:r>
          <w:proofErr w:type="spellStart"/>
          <w:r w:rsidRPr="00613F84">
            <w:rPr>
              <w:rFonts w:ascii="Arial" w:eastAsia="Times New Roman" w:hAnsi="Arial" w:cs="Arial"/>
              <w:bCs/>
              <w:sz w:val="14"/>
              <w:szCs w:val="14"/>
            </w:rPr>
            <w:t>Θυρ</w:t>
          </w:r>
          <w:proofErr w:type="spellEnd"/>
          <w:r w:rsidRPr="00613F84">
            <w:rPr>
              <w:rFonts w:ascii="Arial" w:eastAsia="Times New Roman" w:hAnsi="Arial" w:cs="Arial"/>
              <w:bCs/>
              <w:sz w:val="14"/>
              <w:szCs w:val="14"/>
            </w:rPr>
            <w:t>. 29669, 1722 Λευκωσία</w:t>
          </w:r>
        </w:p>
        <w:p w14:paraId="3030850A" w14:textId="77777777" w:rsidR="00613F84" w:rsidRPr="00613F84" w:rsidRDefault="00613F84" w:rsidP="00613F84">
          <w:pPr>
            <w:keepNext/>
            <w:spacing w:after="0" w:line="240" w:lineRule="auto"/>
            <w:ind w:right="-717"/>
            <w:outlineLvl w:val="6"/>
            <w:rPr>
              <w:rFonts w:ascii="Tahoma" w:eastAsia="Times New Roman" w:hAnsi="Tahoma" w:cs="Tahoma"/>
              <w:iCs/>
              <w:sz w:val="20"/>
              <w:szCs w:val="24"/>
              <w:lang w:val="en-GB"/>
            </w:rPr>
          </w:pPr>
          <w:r w:rsidRPr="00613F84">
            <w:rPr>
              <w:rFonts w:ascii="Arial" w:eastAsia="Times New Roman" w:hAnsi="Arial" w:cs="Arial"/>
              <w:bCs/>
              <w:sz w:val="14"/>
              <w:szCs w:val="14"/>
            </w:rPr>
            <w:t>Τηλ</w:t>
          </w:r>
          <w:r w:rsidRPr="00613F84">
            <w:rPr>
              <w:rFonts w:ascii="Arial" w:eastAsia="Times New Roman" w:hAnsi="Arial" w:cs="Arial"/>
              <w:bCs/>
              <w:sz w:val="14"/>
              <w:szCs w:val="14"/>
              <w:lang w:val="fr-FR"/>
            </w:rPr>
            <w:t xml:space="preserve">: 22800351   </w:t>
          </w:r>
          <w:r w:rsidRPr="00613F84">
            <w:rPr>
              <w:rFonts w:ascii="Arial" w:eastAsia="Times New Roman" w:hAnsi="Arial" w:cs="Arial"/>
              <w:bCs/>
              <w:sz w:val="14"/>
              <w:szCs w:val="14"/>
            </w:rPr>
            <w:t>φαξ</w:t>
          </w:r>
          <w:r w:rsidRPr="00613F84">
            <w:rPr>
              <w:rFonts w:ascii="Arial" w:eastAsia="Times New Roman" w:hAnsi="Arial" w:cs="Arial"/>
              <w:bCs/>
              <w:sz w:val="14"/>
              <w:szCs w:val="14"/>
              <w:lang w:val="fr-FR"/>
            </w:rPr>
            <w:t>: 22348202  e-mail: director@ems.mcw.gov.cy,  http://www.mcw.gov.cy/ems</w:t>
          </w:r>
        </w:p>
      </w:tc>
    </w:tr>
    <w:tr w:rsidR="00613F84" w:rsidRPr="006221FA" w14:paraId="4F2BAB5E" w14:textId="77777777" w:rsidTr="008838DD">
      <w:trPr>
        <w:trHeight w:val="183"/>
      </w:trPr>
      <w:tc>
        <w:tcPr>
          <w:tcW w:w="1101" w:type="dxa"/>
          <w:vAlign w:val="center"/>
        </w:tcPr>
        <w:p w14:paraId="708A7B85" w14:textId="75B3EFEA" w:rsidR="00613F84" w:rsidRPr="00613F84" w:rsidRDefault="00613F84" w:rsidP="00613F84">
          <w:pPr>
            <w:keepNext/>
            <w:spacing w:after="0" w:line="240" w:lineRule="auto"/>
            <w:ind w:right="-717"/>
            <w:outlineLvl w:val="6"/>
            <w:rPr>
              <w:rFonts w:ascii="Tahoma" w:eastAsia="Times New Roman" w:hAnsi="Tahoma" w:cs="Tahoma"/>
              <w:iCs/>
              <w:sz w:val="12"/>
              <w:szCs w:val="12"/>
              <w:lang w:val="en-GB"/>
            </w:rPr>
          </w:pPr>
        </w:p>
      </w:tc>
      <w:tc>
        <w:tcPr>
          <w:tcW w:w="1167" w:type="dxa"/>
        </w:tcPr>
        <w:p w14:paraId="0BB188EB" w14:textId="77777777" w:rsidR="00613F84" w:rsidRPr="00613F84" w:rsidRDefault="00613F84" w:rsidP="00613F84">
          <w:pPr>
            <w:keepNext/>
            <w:spacing w:after="0" w:line="240" w:lineRule="auto"/>
            <w:ind w:right="-717"/>
            <w:jc w:val="center"/>
            <w:outlineLvl w:val="6"/>
            <w:rPr>
              <w:rFonts w:ascii="Tahoma" w:eastAsia="Times New Roman" w:hAnsi="Tahoma" w:cs="Tahoma"/>
              <w:iCs/>
              <w:sz w:val="20"/>
              <w:szCs w:val="24"/>
              <w:lang w:val="en-GB"/>
            </w:rPr>
          </w:pPr>
        </w:p>
      </w:tc>
      <w:tc>
        <w:tcPr>
          <w:tcW w:w="7479" w:type="dxa"/>
          <w:vMerge/>
          <w:vAlign w:val="center"/>
        </w:tcPr>
        <w:p w14:paraId="34DE4C8E" w14:textId="77777777" w:rsidR="00613F84" w:rsidRPr="003F1D27" w:rsidRDefault="00613F84" w:rsidP="00613F84">
          <w:pPr>
            <w:keepNext/>
            <w:spacing w:after="0" w:line="240" w:lineRule="auto"/>
            <w:ind w:right="-717"/>
            <w:outlineLvl w:val="6"/>
            <w:rPr>
              <w:rFonts w:ascii="Arial" w:eastAsia="Times New Roman" w:hAnsi="Arial" w:cs="Arial"/>
              <w:bCs/>
              <w:iCs/>
              <w:sz w:val="14"/>
              <w:szCs w:val="14"/>
              <w:lang w:val="en-US"/>
            </w:rPr>
          </w:pPr>
        </w:p>
      </w:tc>
    </w:tr>
  </w:tbl>
  <w:p w14:paraId="595A0F70" w14:textId="77777777" w:rsidR="00613F84" w:rsidRPr="00613F84" w:rsidRDefault="00613F84" w:rsidP="00613F84">
    <w:pPr>
      <w:keepNext/>
      <w:spacing w:after="0" w:line="240" w:lineRule="auto"/>
      <w:ind w:right="-717"/>
      <w:outlineLvl w:val="6"/>
      <w:rPr>
        <w:rFonts w:ascii="Arial" w:eastAsia="Times New Roman" w:hAnsi="Arial" w:cs="Arial"/>
        <w:bCs/>
        <w:iCs/>
        <w:sz w:val="14"/>
        <w:szCs w:val="14"/>
        <w:lang w:val="en-US" w:eastAsia="x-none"/>
      </w:rPr>
    </w:pPr>
  </w:p>
  <w:p w14:paraId="6F0F10CE" w14:textId="77777777" w:rsidR="00F12988" w:rsidRPr="00F12988" w:rsidRDefault="00F12988" w:rsidP="00613F84">
    <w:pPr>
      <w:keepNext/>
      <w:spacing w:after="0" w:line="240" w:lineRule="auto"/>
      <w:ind w:right="-717"/>
      <w:jc w:val="center"/>
      <w:outlineLvl w:val="6"/>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80031" w14:textId="77777777" w:rsidR="00DA2754" w:rsidRDefault="00DA2754" w:rsidP="00F12988">
      <w:pPr>
        <w:spacing w:after="0" w:line="240" w:lineRule="auto"/>
      </w:pPr>
      <w:r>
        <w:separator/>
      </w:r>
    </w:p>
  </w:footnote>
  <w:footnote w:type="continuationSeparator" w:id="0">
    <w:p w14:paraId="3BA441A8" w14:textId="77777777" w:rsidR="00DA2754" w:rsidRDefault="00DA2754" w:rsidP="00F12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5741"/>
    <w:multiLevelType w:val="hybridMultilevel"/>
    <w:tmpl w:val="E76EEB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FC7DA7"/>
    <w:multiLevelType w:val="hybridMultilevel"/>
    <w:tmpl w:val="A106FA62"/>
    <w:lvl w:ilvl="0" w:tplc="31F4B5A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E151BD2"/>
    <w:multiLevelType w:val="hybridMultilevel"/>
    <w:tmpl w:val="90DAA5F6"/>
    <w:lvl w:ilvl="0" w:tplc="0408000F">
      <w:start w:val="1"/>
      <w:numFmt w:val="decimal"/>
      <w:lvlText w:val="%1."/>
      <w:lvlJc w:val="left"/>
      <w:pPr>
        <w:ind w:left="540" w:hanging="360"/>
      </w:p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3" w15:restartNumberingAfterBreak="0">
    <w:nsid w:val="2F3D7924"/>
    <w:multiLevelType w:val="hybridMultilevel"/>
    <w:tmpl w:val="5E30CF8E"/>
    <w:lvl w:ilvl="0" w:tplc="0408000F">
      <w:start w:val="1"/>
      <w:numFmt w:val="decimal"/>
      <w:lvlText w:val="%1."/>
      <w:lvlJc w:val="left"/>
      <w:pPr>
        <w:ind w:left="640" w:hanging="360"/>
      </w:pPr>
    </w:lvl>
    <w:lvl w:ilvl="1" w:tplc="04080019" w:tentative="1">
      <w:start w:val="1"/>
      <w:numFmt w:val="lowerLetter"/>
      <w:lvlText w:val="%2."/>
      <w:lvlJc w:val="left"/>
      <w:pPr>
        <w:ind w:left="1360" w:hanging="360"/>
      </w:pPr>
    </w:lvl>
    <w:lvl w:ilvl="2" w:tplc="0408001B" w:tentative="1">
      <w:start w:val="1"/>
      <w:numFmt w:val="lowerRoman"/>
      <w:lvlText w:val="%3."/>
      <w:lvlJc w:val="right"/>
      <w:pPr>
        <w:ind w:left="2080" w:hanging="180"/>
      </w:pPr>
    </w:lvl>
    <w:lvl w:ilvl="3" w:tplc="0408000F" w:tentative="1">
      <w:start w:val="1"/>
      <w:numFmt w:val="decimal"/>
      <w:lvlText w:val="%4."/>
      <w:lvlJc w:val="left"/>
      <w:pPr>
        <w:ind w:left="2800" w:hanging="360"/>
      </w:pPr>
    </w:lvl>
    <w:lvl w:ilvl="4" w:tplc="04080019" w:tentative="1">
      <w:start w:val="1"/>
      <w:numFmt w:val="lowerLetter"/>
      <w:lvlText w:val="%5."/>
      <w:lvlJc w:val="left"/>
      <w:pPr>
        <w:ind w:left="3520" w:hanging="360"/>
      </w:pPr>
    </w:lvl>
    <w:lvl w:ilvl="5" w:tplc="0408001B" w:tentative="1">
      <w:start w:val="1"/>
      <w:numFmt w:val="lowerRoman"/>
      <w:lvlText w:val="%6."/>
      <w:lvlJc w:val="right"/>
      <w:pPr>
        <w:ind w:left="4240" w:hanging="180"/>
      </w:pPr>
    </w:lvl>
    <w:lvl w:ilvl="6" w:tplc="0408000F" w:tentative="1">
      <w:start w:val="1"/>
      <w:numFmt w:val="decimal"/>
      <w:lvlText w:val="%7."/>
      <w:lvlJc w:val="left"/>
      <w:pPr>
        <w:ind w:left="4960" w:hanging="360"/>
      </w:pPr>
    </w:lvl>
    <w:lvl w:ilvl="7" w:tplc="04080019" w:tentative="1">
      <w:start w:val="1"/>
      <w:numFmt w:val="lowerLetter"/>
      <w:lvlText w:val="%8."/>
      <w:lvlJc w:val="left"/>
      <w:pPr>
        <w:ind w:left="5680" w:hanging="360"/>
      </w:pPr>
    </w:lvl>
    <w:lvl w:ilvl="8" w:tplc="0408001B" w:tentative="1">
      <w:start w:val="1"/>
      <w:numFmt w:val="lowerRoman"/>
      <w:lvlText w:val="%9."/>
      <w:lvlJc w:val="right"/>
      <w:pPr>
        <w:ind w:left="6400" w:hanging="180"/>
      </w:pPr>
    </w:lvl>
  </w:abstractNum>
  <w:abstractNum w:abstractNumId="4" w15:restartNumberingAfterBreak="0">
    <w:nsid w:val="3D2F0374"/>
    <w:multiLevelType w:val="hybridMultilevel"/>
    <w:tmpl w:val="4D5AD9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E8A63C4"/>
    <w:multiLevelType w:val="hybridMultilevel"/>
    <w:tmpl w:val="3CB20A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C54C99"/>
    <w:multiLevelType w:val="hybridMultilevel"/>
    <w:tmpl w:val="990628DC"/>
    <w:lvl w:ilvl="0" w:tplc="0408000F">
      <w:start w:val="1"/>
      <w:numFmt w:val="decimal"/>
      <w:lvlText w:val="%1."/>
      <w:lvlJc w:val="left"/>
      <w:pPr>
        <w:ind w:left="840" w:hanging="360"/>
      </w:pPr>
    </w:lvl>
    <w:lvl w:ilvl="1" w:tplc="0408001B">
      <w:start w:val="1"/>
      <w:numFmt w:val="lowerRoman"/>
      <w:lvlText w:val="%2."/>
      <w:lvlJc w:val="righ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7" w15:restartNumberingAfterBreak="0">
    <w:nsid w:val="736E2118"/>
    <w:multiLevelType w:val="hybridMultilevel"/>
    <w:tmpl w:val="B52E38F2"/>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5"/>
  </w:num>
  <w:num w:numId="2">
    <w:abstractNumId w:val="4"/>
  </w:num>
  <w:num w:numId="3">
    <w:abstractNumId w:val="2"/>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B8"/>
    <w:rsid w:val="00003D1D"/>
    <w:rsid w:val="00003F67"/>
    <w:rsid w:val="000168CA"/>
    <w:rsid w:val="00022C2D"/>
    <w:rsid w:val="000270E9"/>
    <w:rsid w:val="000411EC"/>
    <w:rsid w:val="00043FAA"/>
    <w:rsid w:val="000478B6"/>
    <w:rsid w:val="00055D65"/>
    <w:rsid w:val="00082D02"/>
    <w:rsid w:val="000868CD"/>
    <w:rsid w:val="000947C4"/>
    <w:rsid w:val="000A18A6"/>
    <w:rsid w:val="000B1D85"/>
    <w:rsid w:val="000B4C5B"/>
    <w:rsid w:val="000C1784"/>
    <w:rsid w:val="000C1E76"/>
    <w:rsid w:val="000D5868"/>
    <w:rsid w:val="000D678E"/>
    <w:rsid w:val="000E3BAA"/>
    <w:rsid w:val="000E6FCD"/>
    <w:rsid w:val="00111A8A"/>
    <w:rsid w:val="00125FED"/>
    <w:rsid w:val="00131E3F"/>
    <w:rsid w:val="001561DE"/>
    <w:rsid w:val="00175F23"/>
    <w:rsid w:val="0018725A"/>
    <w:rsid w:val="00194AA7"/>
    <w:rsid w:val="001A1F6C"/>
    <w:rsid w:val="001A47CF"/>
    <w:rsid w:val="001A7364"/>
    <w:rsid w:val="001B7D28"/>
    <w:rsid w:val="001E1CB4"/>
    <w:rsid w:val="001F7881"/>
    <w:rsid w:val="002169D8"/>
    <w:rsid w:val="00223D56"/>
    <w:rsid w:val="00237290"/>
    <w:rsid w:val="00242DE7"/>
    <w:rsid w:val="00244D4A"/>
    <w:rsid w:val="00253A74"/>
    <w:rsid w:val="00264AD7"/>
    <w:rsid w:val="00282A20"/>
    <w:rsid w:val="00284F1C"/>
    <w:rsid w:val="0028596E"/>
    <w:rsid w:val="002A3C0B"/>
    <w:rsid w:val="002C510F"/>
    <w:rsid w:val="002D1151"/>
    <w:rsid w:val="002D4405"/>
    <w:rsid w:val="002E2DFC"/>
    <w:rsid w:val="002E54B2"/>
    <w:rsid w:val="002F1123"/>
    <w:rsid w:val="002F1542"/>
    <w:rsid w:val="00303E78"/>
    <w:rsid w:val="00320D2B"/>
    <w:rsid w:val="00340BF8"/>
    <w:rsid w:val="00345F3C"/>
    <w:rsid w:val="00346460"/>
    <w:rsid w:val="00347FDB"/>
    <w:rsid w:val="00350A21"/>
    <w:rsid w:val="003617BF"/>
    <w:rsid w:val="00387675"/>
    <w:rsid w:val="00394632"/>
    <w:rsid w:val="003B2C86"/>
    <w:rsid w:val="003B565B"/>
    <w:rsid w:val="003E4EE2"/>
    <w:rsid w:val="003E6A80"/>
    <w:rsid w:val="003F1D27"/>
    <w:rsid w:val="003F3ED1"/>
    <w:rsid w:val="00406E96"/>
    <w:rsid w:val="004153DF"/>
    <w:rsid w:val="00441508"/>
    <w:rsid w:val="004502E1"/>
    <w:rsid w:val="0046083C"/>
    <w:rsid w:val="00464D13"/>
    <w:rsid w:val="00473A90"/>
    <w:rsid w:val="004973DE"/>
    <w:rsid w:val="004A5B89"/>
    <w:rsid w:val="004B384A"/>
    <w:rsid w:val="004B3FEE"/>
    <w:rsid w:val="004B4C0D"/>
    <w:rsid w:val="004C0105"/>
    <w:rsid w:val="004C151D"/>
    <w:rsid w:val="004C522D"/>
    <w:rsid w:val="004D0888"/>
    <w:rsid w:val="004D1FB8"/>
    <w:rsid w:val="004D4214"/>
    <w:rsid w:val="004E1F5C"/>
    <w:rsid w:val="005105E7"/>
    <w:rsid w:val="00511286"/>
    <w:rsid w:val="00532C5E"/>
    <w:rsid w:val="005346B4"/>
    <w:rsid w:val="005358C5"/>
    <w:rsid w:val="005567D6"/>
    <w:rsid w:val="0056362E"/>
    <w:rsid w:val="00586496"/>
    <w:rsid w:val="005A1679"/>
    <w:rsid w:val="005B35C0"/>
    <w:rsid w:val="005C2185"/>
    <w:rsid w:val="005C2E52"/>
    <w:rsid w:val="005C45AE"/>
    <w:rsid w:val="005C5BB0"/>
    <w:rsid w:val="005D3118"/>
    <w:rsid w:val="005D6652"/>
    <w:rsid w:val="005F0A41"/>
    <w:rsid w:val="00600602"/>
    <w:rsid w:val="00603928"/>
    <w:rsid w:val="006044EB"/>
    <w:rsid w:val="00612C8F"/>
    <w:rsid w:val="00613F84"/>
    <w:rsid w:val="006221FA"/>
    <w:rsid w:val="00634FD3"/>
    <w:rsid w:val="006367DF"/>
    <w:rsid w:val="0066146E"/>
    <w:rsid w:val="006719B6"/>
    <w:rsid w:val="006B6621"/>
    <w:rsid w:val="006D5036"/>
    <w:rsid w:val="006D7678"/>
    <w:rsid w:val="006E0DE6"/>
    <w:rsid w:val="006E1C2C"/>
    <w:rsid w:val="006E7664"/>
    <w:rsid w:val="00701507"/>
    <w:rsid w:val="00701BA6"/>
    <w:rsid w:val="00703D38"/>
    <w:rsid w:val="00706203"/>
    <w:rsid w:val="00743226"/>
    <w:rsid w:val="00751692"/>
    <w:rsid w:val="007647C0"/>
    <w:rsid w:val="00777589"/>
    <w:rsid w:val="007973ED"/>
    <w:rsid w:val="007A069D"/>
    <w:rsid w:val="007A4D86"/>
    <w:rsid w:val="007D4E9E"/>
    <w:rsid w:val="007E4244"/>
    <w:rsid w:val="007F5592"/>
    <w:rsid w:val="008045D8"/>
    <w:rsid w:val="00806651"/>
    <w:rsid w:val="00812583"/>
    <w:rsid w:val="00814331"/>
    <w:rsid w:val="00820B03"/>
    <w:rsid w:val="00820EF4"/>
    <w:rsid w:val="00825B08"/>
    <w:rsid w:val="008453DC"/>
    <w:rsid w:val="00846E03"/>
    <w:rsid w:val="008724B6"/>
    <w:rsid w:val="00873668"/>
    <w:rsid w:val="008838DD"/>
    <w:rsid w:val="008B2FE0"/>
    <w:rsid w:val="008C1AF4"/>
    <w:rsid w:val="008D0328"/>
    <w:rsid w:val="008D7714"/>
    <w:rsid w:val="008E06F1"/>
    <w:rsid w:val="00925073"/>
    <w:rsid w:val="009332C2"/>
    <w:rsid w:val="009357A0"/>
    <w:rsid w:val="00955C55"/>
    <w:rsid w:val="00955DD3"/>
    <w:rsid w:val="0097207D"/>
    <w:rsid w:val="00995AAC"/>
    <w:rsid w:val="009A307D"/>
    <w:rsid w:val="009C7B2C"/>
    <w:rsid w:val="009D24E3"/>
    <w:rsid w:val="009D6F24"/>
    <w:rsid w:val="009E5A0B"/>
    <w:rsid w:val="009F7F06"/>
    <w:rsid w:val="00A00F67"/>
    <w:rsid w:val="00A0392C"/>
    <w:rsid w:val="00A4591F"/>
    <w:rsid w:val="00A50272"/>
    <w:rsid w:val="00A53BC4"/>
    <w:rsid w:val="00A56806"/>
    <w:rsid w:val="00A70A80"/>
    <w:rsid w:val="00A70AF9"/>
    <w:rsid w:val="00AA034F"/>
    <w:rsid w:val="00AB65E3"/>
    <w:rsid w:val="00AC5BAE"/>
    <w:rsid w:val="00AC7EBC"/>
    <w:rsid w:val="00AF5164"/>
    <w:rsid w:val="00AF5563"/>
    <w:rsid w:val="00B02423"/>
    <w:rsid w:val="00B04143"/>
    <w:rsid w:val="00B1264E"/>
    <w:rsid w:val="00B164F5"/>
    <w:rsid w:val="00B2235A"/>
    <w:rsid w:val="00B2251D"/>
    <w:rsid w:val="00B418FD"/>
    <w:rsid w:val="00B5520A"/>
    <w:rsid w:val="00B578C6"/>
    <w:rsid w:val="00B87B40"/>
    <w:rsid w:val="00B91174"/>
    <w:rsid w:val="00BA37A5"/>
    <w:rsid w:val="00BA79CC"/>
    <w:rsid w:val="00BB0898"/>
    <w:rsid w:val="00BB5485"/>
    <w:rsid w:val="00BC29C4"/>
    <w:rsid w:val="00BD1A5C"/>
    <w:rsid w:val="00BD73F6"/>
    <w:rsid w:val="00BE7E63"/>
    <w:rsid w:val="00BF300E"/>
    <w:rsid w:val="00BF3C63"/>
    <w:rsid w:val="00C061D6"/>
    <w:rsid w:val="00C17110"/>
    <w:rsid w:val="00C21588"/>
    <w:rsid w:val="00C536D8"/>
    <w:rsid w:val="00C6387B"/>
    <w:rsid w:val="00C665AE"/>
    <w:rsid w:val="00C74062"/>
    <w:rsid w:val="00C86D94"/>
    <w:rsid w:val="00C927B9"/>
    <w:rsid w:val="00C9552F"/>
    <w:rsid w:val="00CA3A11"/>
    <w:rsid w:val="00CD6BC4"/>
    <w:rsid w:val="00CF062F"/>
    <w:rsid w:val="00D15D95"/>
    <w:rsid w:val="00D31650"/>
    <w:rsid w:val="00D40FC5"/>
    <w:rsid w:val="00D731F7"/>
    <w:rsid w:val="00D74DC1"/>
    <w:rsid w:val="00D952DA"/>
    <w:rsid w:val="00DA1E04"/>
    <w:rsid w:val="00DA2754"/>
    <w:rsid w:val="00DA734A"/>
    <w:rsid w:val="00DB1696"/>
    <w:rsid w:val="00DD7456"/>
    <w:rsid w:val="00DE02C6"/>
    <w:rsid w:val="00DE0FA1"/>
    <w:rsid w:val="00DE5473"/>
    <w:rsid w:val="00E00C94"/>
    <w:rsid w:val="00E05F38"/>
    <w:rsid w:val="00E31489"/>
    <w:rsid w:val="00E71FC8"/>
    <w:rsid w:val="00E76A79"/>
    <w:rsid w:val="00E86121"/>
    <w:rsid w:val="00E86C57"/>
    <w:rsid w:val="00E9355A"/>
    <w:rsid w:val="00E93BC6"/>
    <w:rsid w:val="00E97508"/>
    <w:rsid w:val="00EA304F"/>
    <w:rsid w:val="00EA53DE"/>
    <w:rsid w:val="00EC4BD5"/>
    <w:rsid w:val="00ED656A"/>
    <w:rsid w:val="00EE4FFF"/>
    <w:rsid w:val="00EF3A1E"/>
    <w:rsid w:val="00EF4507"/>
    <w:rsid w:val="00F07391"/>
    <w:rsid w:val="00F12988"/>
    <w:rsid w:val="00F16591"/>
    <w:rsid w:val="00F34428"/>
    <w:rsid w:val="00F37E79"/>
    <w:rsid w:val="00F46659"/>
    <w:rsid w:val="00F54388"/>
    <w:rsid w:val="00F62994"/>
    <w:rsid w:val="00F668D1"/>
    <w:rsid w:val="00F76B0C"/>
    <w:rsid w:val="00FC4C54"/>
    <w:rsid w:val="00FD4074"/>
    <w:rsid w:val="00FE4632"/>
    <w:rsid w:val="00FE51C8"/>
    <w:rsid w:val="00FE5B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86938"/>
  <w15:chartTrackingRefBased/>
  <w15:docId w15:val="{5F3F29D8-0824-463F-9AAC-EBD6A510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66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F12988"/>
    <w:pPr>
      <w:keepNext/>
      <w:spacing w:after="0" w:line="240" w:lineRule="auto"/>
      <w:outlineLvl w:val="6"/>
    </w:pPr>
    <w:rPr>
      <w:rFonts w:ascii="Tahoma" w:eastAsia="Times New Roman" w:hAnsi="Tahoma" w:cs="Tahoma"/>
      <w:i/>
      <w:i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8CD"/>
    <w:pPr>
      <w:ind w:left="720"/>
      <w:contextualSpacing/>
    </w:pPr>
  </w:style>
  <w:style w:type="paragraph" w:styleId="Header">
    <w:name w:val="header"/>
    <w:basedOn w:val="Normal"/>
    <w:link w:val="HeaderChar"/>
    <w:uiPriority w:val="99"/>
    <w:unhideWhenUsed/>
    <w:rsid w:val="00F129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2988"/>
  </w:style>
  <w:style w:type="paragraph" w:styleId="Footer">
    <w:name w:val="footer"/>
    <w:basedOn w:val="Normal"/>
    <w:link w:val="FooterChar"/>
    <w:uiPriority w:val="99"/>
    <w:unhideWhenUsed/>
    <w:rsid w:val="00F129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2988"/>
  </w:style>
  <w:style w:type="character" w:customStyle="1" w:styleId="Heading7Char">
    <w:name w:val="Heading 7 Char"/>
    <w:basedOn w:val="DefaultParagraphFont"/>
    <w:link w:val="Heading7"/>
    <w:rsid w:val="00F12988"/>
    <w:rPr>
      <w:rFonts w:ascii="Tahoma" w:eastAsia="Times New Roman" w:hAnsi="Tahoma" w:cs="Tahoma"/>
      <w:i/>
      <w:iCs/>
      <w:sz w:val="20"/>
      <w:szCs w:val="24"/>
      <w:lang w:val="en-GB"/>
    </w:rPr>
  </w:style>
  <w:style w:type="paragraph" w:styleId="BodyText2">
    <w:name w:val="Body Text 2"/>
    <w:basedOn w:val="Normal"/>
    <w:link w:val="BodyText2Char"/>
    <w:rsid w:val="00F12988"/>
    <w:pPr>
      <w:spacing w:after="0" w:line="240" w:lineRule="auto"/>
      <w:jc w:val="both"/>
    </w:pPr>
    <w:rPr>
      <w:rFonts w:ascii="Tahoma" w:eastAsia="Times New Roman" w:hAnsi="Tahoma" w:cs="Tahoma"/>
      <w:sz w:val="24"/>
      <w:szCs w:val="24"/>
      <w:lang w:val="en-GB"/>
    </w:rPr>
  </w:style>
  <w:style w:type="character" w:customStyle="1" w:styleId="BodyText2Char">
    <w:name w:val="Body Text 2 Char"/>
    <w:basedOn w:val="DefaultParagraphFont"/>
    <w:link w:val="BodyText2"/>
    <w:rsid w:val="00F12988"/>
    <w:rPr>
      <w:rFonts w:ascii="Tahoma" w:eastAsia="Times New Roman" w:hAnsi="Tahoma" w:cs="Tahoma"/>
      <w:sz w:val="24"/>
      <w:szCs w:val="24"/>
      <w:lang w:val="en-GB"/>
    </w:rPr>
  </w:style>
  <w:style w:type="character" w:styleId="Hyperlink">
    <w:name w:val="Hyperlink"/>
    <w:rsid w:val="00F12988"/>
    <w:rPr>
      <w:color w:val="0000FF"/>
      <w:u w:val="single"/>
    </w:rPr>
  </w:style>
  <w:style w:type="paragraph" w:styleId="Revision">
    <w:name w:val="Revision"/>
    <w:hidden/>
    <w:uiPriority w:val="99"/>
    <w:semiHidden/>
    <w:rsid w:val="00C86D94"/>
    <w:pPr>
      <w:spacing w:after="0" w:line="240" w:lineRule="auto"/>
    </w:pPr>
  </w:style>
  <w:style w:type="character" w:styleId="CommentReference">
    <w:name w:val="annotation reference"/>
    <w:basedOn w:val="DefaultParagraphFont"/>
    <w:uiPriority w:val="99"/>
    <w:semiHidden/>
    <w:unhideWhenUsed/>
    <w:rsid w:val="00E93BC6"/>
    <w:rPr>
      <w:sz w:val="16"/>
      <w:szCs w:val="16"/>
    </w:rPr>
  </w:style>
  <w:style w:type="paragraph" w:styleId="CommentText">
    <w:name w:val="annotation text"/>
    <w:basedOn w:val="Normal"/>
    <w:link w:val="CommentTextChar"/>
    <w:uiPriority w:val="99"/>
    <w:semiHidden/>
    <w:unhideWhenUsed/>
    <w:rsid w:val="00E93BC6"/>
    <w:pPr>
      <w:spacing w:line="240" w:lineRule="auto"/>
    </w:pPr>
    <w:rPr>
      <w:sz w:val="20"/>
      <w:szCs w:val="20"/>
    </w:rPr>
  </w:style>
  <w:style w:type="character" w:customStyle="1" w:styleId="CommentTextChar">
    <w:name w:val="Comment Text Char"/>
    <w:basedOn w:val="DefaultParagraphFont"/>
    <w:link w:val="CommentText"/>
    <w:uiPriority w:val="99"/>
    <w:semiHidden/>
    <w:rsid w:val="00E93BC6"/>
    <w:rPr>
      <w:sz w:val="20"/>
      <w:szCs w:val="20"/>
    </w:rPr>
  </w:style>
  <w:style w:type="paragraph" w:styleId="CommentSubject">
    <w:name w:val="annotation subject"/>
    <w:basedOn w:val="CommentText"/>
    <w:next w:val="CommentText"/>
    <w:link w:val="CommentSubjectChar"/>
    <w:uiPriority w:val="99"/>
    <w:semiHidden/>
    <w:unhideWhenUsed/>
    <w:rsid w:val="00E93BC6"/>
    <w:rPr>
      <w:b/>
      <w:bCs/>
    </w:rPr>
  </w:style>
  <w:style w:type="character" w:customStyle="1" w:styleId="CommentSubjectChar">
    <w:name w:val="Comment Subject Char"/>
    <w:basedOn w:val="CommentTextChar"/>
    <w:link w:val="CommentSubject"/>
    <w:uiPriority w:val="99"/>
    <w:semiHidden/>
    <w:rsid w:val="00E93BC6"/>
    <w:rPr>
      <w:b/>
      <w:bCs/>
      <w:sz w:val="20"/>
      <w:szCs w:val="20"/>
    </w:rPr>
  </w:style>
  <w:style w:type="paragraph" w:styleId="BalloonText">
    <w:name w:val="Balloon Text"/>
    <w:basedOn w:val="Normal"/>
    <w:link w:val="BalloonTextChar"/>
    <w:uiPriority w:val="99"/>
    <w:semiHidden/>
    <w:unhideWhenUsed/>
    <w:rsid w:val="006E7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664"/>
    <w:rPr>
      <w:rFonts w:ascii="Segoe UI" w:hAnsi="Segoe UI" w:cs="Segoe UI"/>
      <w:sz w:val="18"/>
      <w:szCs w:val="18"/>
    </w:rPr>
  </w:style>
  <w:style w:type="character" w:customStyle="1" w:styleId="Heading1Char">
    <w:name w:val="Heading 1 Char"/>
    <w:basedOn w:val="DefaultParagraphFont"/>
    <w:link w:val="Heading1"/>
    <w:uiPriority w:val="9"/>
    <w:rsid w:val="005D665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6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yprus.gov.cy/portal/portal.nsf/0/64b48afa606d5553c22570360021f4a4/Text/8.30D2?OpenElement&amp;FieldElemFormat=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902</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Sofroniou</dc:creator>
  <cp:keywords/>
  <dc:description/>
  <cp:lastModifiedBy>Eleftheria Sofroniou</cp:lastModifiedBy>
  <cp:revision>8</cp:revision>
  <cp:lastPrinted>2024-12-16T05:36:00Z</cp:lastPrinted>
  <dcterms:created xsi:type="dcterms:W3CDTF">2024-06-17T10:52:00Z</dcterms:created>
  <dcterms:modified xsi:type="dcterms:W3CDTF">2024-12-16T07:19:00Z</dcterms:modified>
</cp:coreProperties>
</file>